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2EE7D"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40"/>
          <w:szCs w:val="40"/>
          <w:lang w:eastAsia="de-CH"/>
          <w14:ligatures w14:val="none"/>
        </w:rPr>
      </w:pPr>
      <w:r w:rsidRPr="008E0216">
        <w:rPr>
          <w:rFonts w:ascii="Aptos" w:eastAsia="Times New Roman" w:hAnsi="Aptos" w:cs="Times New Roman"/>
          <w:b/>
          <w:bCs/>
          <w:kern w:val="0"/>
          <w:sz w:val="40"/>
          <w:szCs w:val="40"/>
          <w:lang w:eastAsia="de-CH"/>
          <w14:ligatures w14:val="none"/>
        </w:rPr>
        <w:t>Einführung: Pathophysiologische Grundlagen von Long-COVID und Post-</w:t>
      </w:r>
      <w:proofErr w:type="spellStart"/>
      <w:r w:rsidRPr="008E0216">
        <w:rPr>
          <w:rFonts w:ascii="Aptos" w:eastAsia="Times New Roman" w:hAnsi="Aptos" w:cs="Times New Roman"/>
          <w:b/>
          <w:bCs/>
          <w:kern w:val="0"/>
          <w:sz w:val="40"/>
          <w:szCs w:val="40"/>
          <w:lang w:eastAsia="de-CH"/>
          <w14:ligatures w14:val="none"/>
        </w:rPr>
        <w:t>Vac</w:t>
      </w:r>
      <w:proofErr w:type="spellEnd"/>
    </w:p>
    <w:p w14:paraId="3DF430A4" w14:textId="04676BC3"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Long-COVID und Post-</w:t>
      </w:r>
      <w:proofErr w:type="spellStart"/>
      <w:r w:rsidRPr="008E0216">
        <w:rPr>
          <w:rFonts w:ascii="Aptos" w:eastAsia="Times New Roman" w:hAnsi="Aptos" w:cs="Times New Roman"/>
          <w:kern w:val="0"/>
          <w:sz w:val="24"/>
          <w:szCs w:val="24"/>
          <w:lang w:eastAsia="de-CH"/>
          <w14:ligatures w14:val="none"/>
        </w:rPr>
        <w:t>Vac</w:t>
      </w:r>
      <w:proofErr w:type="spellEnd"/>
      <w:r w:rsidRPr="008E0216">
        <w:rPr>
          <w:rFonts w:ascii="Aptos" w:eastAsia="Times New Roman" w:hAnsi="Aptos" w:cs="Times New Roman"/>
          <w:kern w:val="0"/>
          <w:sz w:val="24"/>
          <w:szCs w:val="24"/>
          <w:lang w:eastAsia="de-CH"/>
          <w14:ligatures w14:val="none"/>
        </w:rPr>
        <w:t xml:space="preserve"> </w:t>
      </w:r>
      <w:r w:rsidR="00FB612E" w:rsidRPr="00FB612E">
        <w:rPr>
          <w:rFonts w:ascii="Aptos" w:eastAsia="Times New Roman" w:hAnsi="Aptos" w:cs="Times New Roman"/>
          <w:kern w:val="0"/>
          <w:sz w:val="24"/>
          <w:szCs w:val="24"/>
          <w:lang w:eastAsia="de-CH"/>
          <w14:ligatures w14:val="none"/>
        </w:rPr>
        <w:t>werden durch komplexe Wechselwirkungen zwischen immunologischen, metabolischen und oxidativen Prozessen charakterisiert</w:t>
      </w:r>
      <w:r w:rsidRPr="008E0216">
        <w:rPr>
          <w:rFonts w:ascii="Aptos" w:eastAsia="Times New Roman" w:hAnsi="Aptos" w:cs="Times New Roman"/>
          <w:kern w:val="0"/>
          <w:sz w:val="24"/>
          <w:szCs w:val="24"/>
          <w:lang w:eastAsia="de-CH"/>
          <w14:ligatures w14:val="none"/>
        </w:rPr>
        <w:t xml:space="preserve">. Patienten berichten von Symptomen wie Fatigue, neurokognitiven Einschränkungen und chronischen Schmerzen, die über Monate oder Jahre persistieren können. </w:t>
      </w:r>
      <w:r w:rsidR="007D69EB" w:rsidRPr="007D69EB">
        <w:rPr>
          <w:rFonts w:ascii="Aptos" w:eastAsia="Times New Roman" w:hAnsi="Aptos" w:cs="Times New Roman"/>
          <w:kern w:val="0"/>
          <w:sz w:val="24"/>
          <w:szCs w:val="24"/>
          <w:lang w:eastAsia="de-CH"/>
          <w14:ligatures w14:val="none"/>
        </w:rPr>
        <w:t>Oxidativer Stress wird als potenziell zentraler Mechanismus diskutiert, der diese Zustände verbindet.</w:t>
      </w:r>
      <w:r w:rsidR="007D69EB">
        <w:rPr>
          <w:rFonts w:ascii="Aptos" w:eastAsia="Times New Roman" w:hAnsi="Aptos" w:cs="Times New Roman"/>
          <w:kern w:val="0"/>
          <w:sz w:val="24"/>
          <w:szCs w:val="24"/>
          <w:lang w:eastAsia="de-CH"/>
          <w14:ligatures w14:val="none"/>
        </w:rPr>
        <w:t xml:space="preserve"> </w:t>
      </w:r>
      <w:r w:rsidRPr="008E0216">
        <w:rPr>
          <w:rFonts w:ascii="Aptos" w:eastAsia="Times New Roman" w:hAnsi="Aptos" w:cs="Times New Roman"/>
          <w:kern w:val="0"/>
          <w:sz w:val="24"/>
          <w:szCs w:val="24"/>
          <w:lang w:eastAsia="de-CH"/>
          <w14:ligatures w14:val="none"/>
        </w:rPr>
        <w:t>Hierbei handelt es sich um ein Ungleichgewicht zwischen der Produktion reaktiver Sauerstoffspezies (ROS) und der Fähigkeit antioxidativer Schutzsysteme, diese zu neutralisieren. Dieses Ungleichgewicht kann weitreichende Schäden auf zellulärer und systemischer Ebene verursachen.</w:t>
      </w:r>
    </w:p>
    <w:p w14:paraId="5BFAC789" w14:textId="730C20F1"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Besonders relevant ist die Rolle des oxidativen Stresses als Vermittler von mitochondrialer Dysfunktion und immunologischer Fehlregulation, welche die Grundlage für viele der beobachteten Symptome sein könnten. Zudem ist zu berücksichtigen, dass Viruspersistenz und Entzündungsprozesse als chronische Trigger wirken und den Krankheitsverlauf verschärfen können</w:t>
      </w:r>
      <w:r w:rsidR="00175583">
        <w:rPr>
          <w:rFonts w:ascii="Aptos" w:eastAsia="Times New Roman" w:hAnsi="Aptos" w:cs="Times New Roman"/>
          <w:kern w:val="0"/>
          <w:sz w:val="24"/>
          <w:szCs w:val="24"/>
          <w:lang w:eastAsia="de-CH"/>
          <w14:ligatures w14:val="none"/>
        </w:rPr>
        <w:t>, wenn nicht sogar initial auslösen können</w:t>
      </w:r>
      <w:r w:rsidRPr="008E0216">
        <w:rPr>
          <w:rFonts w:ascii="Aptos" w:eastAsia="Times New Roman" w:hAnsi="Aptos" w:cs="Times New Roman"/>
          <w:kern w:val="0"/>
          <w:sz w:val="24"/>
          <w:szCs w:val="24"/>
          <w:lang w:eastAsia="de-CH"/>
          <w14:ligatures w14:val="none"/>
        </w:rPr>
        <w:t xml:space="preserve">. </w:t>
      </w:r>
      <w:r w:rsidR="00C23251" w:rsidRPr="00C23251">
        <w:rPr>
          <w:rFonts w:ascii="Aptos" w:eastAsia="Times New Roman" w:hAnsi="Aptos" w:cs="Times New Roman"/>
          <w:kern w:val="0"/>
          <w:sz w:val="24"/>
          <w:szCs w:val="24"/>
          <w:lang w:eastAsia="de-CH"/>
          <w14:ligatures w14:val="none"/>
        </w:rPr>
        <w:t>Dieses Dokument soll die Mechanismen hinter diesen Prozessen darlegen und mögliche diagnostische sowie therapeutische Perspektiven beleuchten.</w:t>
      </w:r>
    </w:p>
    <w:p w14:paraId="3EC5C94E" w14:textId="77777777" w:rsidR="008E0216" w:rsidRPr="008E0216" w:rsidRDefault="008E0216" w:rsidP="008E0216">
      <w:pPr>
        <w:spacing w:after="0"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pict w14:anchorId="3FE3EE21">
          <v:rect id="_x0000_i1073" style="width:0;height:1.5pt" o:hralign="center" o:hrstd="t" o:hr="t" fillcolor="#a0a0a0" stroked="f"/>
        </w:pict>
      </w:r>
    </w:p>
    <w:p w14:paraId="44C89CD0" w14:textId="77777777" w:rsidR="008E0216" w:rsidRPr="008E0216" w:rsidRDefault="008E0216" w:rsidP="008E0216">
      <w:pPr>
        <w:spacing w:before="100" w:beforeAutospacing="1" w:after="100" w:afterAutospacing="1" w:line="240" w:lineRule="auto"/>
        <w:outlineLvl w:val="2"/>
        <w:rPr>
          <w:rFonts w:ascii="Aptos" w:eastAsia="Times New Roman" w:hAnsi="Aptos" w:cs="Times New Roman"/>
          <w:b/>
          <w:bCs/>
          <w:kern w:val="0"/>
          <w:sz w:val="27"/>
          <w:szCs w:val="27"/>
          <w:lang w:eastAsia="de-CH"/>
          <w14:ligatures w14:val="none"/>
        </w:rPr>
      </w:pPr>
      <w:r w:rsidRPr="008E0216">
        <w:rPr>
          <w:rFonts w:ascii="Aptos" w:eastAsia="Times New Roman" w:hAnsi="Aptos" w:cs="Times New Roman"/>
          <w:b/>
          <w:bCs/>
          <w:kern w:val="0"/>
          <w:sz w:val="27"/>
          <w:szCs w:val="27"/>
          <w:lang w:eastAsia="de-CH"/>
          <w14:ligatures w14:val="none"/>
        </w:rPr>
        <w:t>Oxidativer Stress: Ein zentraler pathogenetischer Faktor</w:t>
      </w:r>
    </w:p>
    <w:p w14:paraId="5F34AB7B"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Oxidativer Stress beschreibt ein Ungleichgewicht zwischen der Produktion von ROS, darunter Superoxid, Wasserstoffperoxid (H₂O₂) und Hydroxylradikalen, und der antioxidativen Kapazität des Körpers. ROS sind natürliche Nebenprodukte des zellulären Metabolismus, insbesondere der mitochondrialen Atmung. Unter physiologischen Bedingungen fungieren sie als Signalmoleküle, die zahlreiche zelluläre Prozesse regulieren. Bei Überproduktion können sie jedoch toxisch wirken, indem sie Lipide, Proteine und DNA schädigen.</w:t>
      </w:r>
    </w:p>
    <w:p w14:paraId="02A37850"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Die Rolle von Wasserstoffperoxid (H₂O₂)</w:t>
      </w:r>
    </w:p>
    <w:p w14:paraId="19D5015C" w14:textId="77777777" w:rsidR="004C37FB"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H₂O₂ ist eine relativ stabile ROS, die sowohl für Signalfunktionen als auch für oxidative Schäden verantwortlich ist. Im Vergleich zu anderen ROS wie dem hochreaktiven Hydroxylradikal oder Superoxid ist H₂O₂ weniger reaktiv, kann jedoch aufgrund seiner Stabilität leichter durch Zellmembranen diffundieren und systemische Effekte auslösen. Es wird durch Enzyme wie Katalase und Glutathion-Peroxidase abgebaut, deren Aktivität entscheidend ist, um eine pathologische Akkumulation und zelluläre Schäden zu verhindern. Insbesondere bei Long-COVID und Post-</w:t>
      </w:r>
      <w:proofErr w:type="spellStart"/>
      <w:r w:rsidRPr="008E0216">
        <w:rPr>
          <w:rFonts w:ascii="Aptos" w:eastAsia="Times New Roman" w:hAnsi="Aptos" w:cs="Times New Roman"/>
          <w:kern w:val="0"/>
          <w:sz w:val="24"/>
          <w:szCs w:val="24"/>
          <w:lang w:eastAsia="de-CH"/>
          <w14:ligatures w14:val="none"/>
        </w:rPr>
        <w:t>Vac</w:t>
      </w:r>
      <w:proofErr w:type="spellEnd"/>
      <w:r w:rsidRPr="008E0216">
        <w:rPr>
          <w:rFonts w:ascii="Aptos" w:eastAsia="Times New Roman" w:hAnsi="Aptos" w:cs="Times New Roman"/>
          <w:kern w:val="0"/>
          <w:sz w:val="24"/>
          <w:szCs w:val="24"/>
          <w:lang w:eastAsia="de-CH"/>
          <w14:ligatures w14:val="none"/>
        </w:rPr>
        <w:t xml:space="preserve"> könnte eine gestörte Regulation von H₂O₂ eine zentrale Rolle in der Krankheitsprogression spielen. </w:t>
      </w:r>
    </w:p>
    <w:p w14:paraId="2D5BE545" w14:textId="77777777" w:rsidR="004C37FB" w:rsidRDefault="004C37FB"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p>
    <w:p w14:paraId="544B3462" w14:textId="1BA1E85C"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lastRenderedPageBreak/>
        <w:t xml:space="preserve">Eine </w:t>
      </w:r>
      <w:proofErr w:type="spellStart"/>
      <w:r w:rsidRPr="008E0216">
        <w:rPr>
          <w:rFonts w:ascii="Aptos" w:eastAsia="Times New Roman" w:hAnsi="Aptos" w:cs="Times New Roman"/>
          <w:kern w:val="0"/>
          <w:sz w:val="24"/>
          <w:szCs w:val="24"/>
          <w:lang w:eastAsia="de-CH"/>
          <w14:ligatures w14:val="none"/>
        </w:rPr>
        <w:t>dysregulierte</w:t>
      </w:r>
      <w:proofErr w:type="spellEnd"/>
      <w:r w:rsidRPr="008E0216">
        <w:rPr>
          <w:rFonts w:ascii="Aptos" w:eastAsia="Times New Roman" w:hAnsi="Aptos" w:cs="Times New Roman"/>
          <w:kern w:val="0"/>
          <w:sz w:val="24"/>
          <w:szCs w:val="24"/>
          <w:lang w:eastAsia="de-CH"/>
          <w14:ligatures w14:val="none"/>
        </w:rPr>
        <w:t xml:space="preserve"> Produktion, etwa im Rahmen chronischer Entzündungen, kann jedoch zu einer Akkumulation führen, die zelluläre Strukturen angreift und entzündliche Prozesse weiter antreibt. Diese Überproduktion könnte ein Hauptfaktor sein, der die Persistenz von Symptomen bei diesen Erkrankungen erklärt.</w:t>
      </w:r>
    </w:p>
    <w:p w14:paraId="64256A98"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Antioxidative Schutzsysteme</w:t>
      </w:r>
    </w:p>
    <w:p w14:paraId="0A7735A5"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Der Körper verfügt über ein komplexes Netzwerk antioxidativer Mechanismen, um ROS zu neutralisieren:</w:t>
      </w:r>
    </w:p>
    <w:p w14:paraId="1A51A80D"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Vitamin C:</w:t>
      </w:r>
      <w:r w:rsidRPr="008E0216">
        <w:rPr>
          <w:rFonts w:ascii="Aptos" w:eastAsia="Times New Roman" w:hAnsi="Aptos" w:cs="Times New Roman"/>
          <w:kern w:val="0"/>
          <w:sz w:val="24"/>
          <w:szCs w:val="24"/>
          <w:lang w:eastAsia="de-CH"/>
          <w14:ligatures w14:val="none"/>
        </w:rPr>
        <w:t xml:space="preserve"> Neutralisiert wasserlösliche ROS und regeneriert andere Antioxidantien wie Vitamin E.</w:t>
      </w:r>
    </w:p>
    <w:p w14:paraId="49A8BB89"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Vitamin E:</w:t>
      </w:r>
      <w:r w:rsidRPr="008E0216">
        <w:rPr>
          <w:rFonts w:ascii="Aptos" w:eastAsia="Times New Roman" w:hAnsi="Aptos" w:cs="Times New Roman"/>
          <w:kern w:val="0"/>
          <w:sz w:val="24"/>
          <w:szCs w:val="24"/>
          <w:lang w:eastAsia="de-CH"/>
          <w14:ligatures w14:val="none"/>
        </w:rPr>
        <w:t xml:space="preserve"> Schützt Zellmembranen vor </w:t>
      </w:r>
      <w:proofErr w:type="spellStart"/>
      <w:r w:rsidRPr="008E0216">
        <w:rPr>
          <w:rFonts w:ascii="Aptos" w:eastAsia="Times New Roman" w:hAnsi="Aptos" w:cs="Times New Roman"/>
          <w:kern w:val="0"/>
          <w:sz w:val="24"/>
          <w:szCs w:val="24"/>
          <w:lang w:eastAsia="de-CH"/>
          <w14:ligatures w14:val="none"/>
        </w:rPr>
        <w:t>Lipidperoxidation</w:t>
      </w:r>
      <w:proofErr w:type="spellEnd"/>
      <w:r w:rsidRPr="008E0216">
        <w:rPr>
          <w:rFonts w:ascii="Aptos" w:eastAsia="Times New Roman" w:hAnsi="Aptos" w:cs="Times New Roman"/>
          <w:kern w:val="0"/>
          <w:sz w:val="24"/>
          <w:szCs w:val="24"/>
          <w:lang w:eastAsia="de-CH"/>
          <w14:ligatures w14:val="none"/>
        </w:rPr>
        <w:t>.</w:t>
      </w:r>
    </w:p>
    <w:p w14:paraId="692F552D"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Glutathion:</w:t>
      </w:r>
      <w:r w:rsidRPr="008E0216">
        <w:rPr>
          <w:rFonts w:ascii="Aptos" w:eastAsia="Times New Roman" w:hAnsi="Aptos" w:cs="Times New Roman"/>
          <w:kern w:val="0"/>
          <w:sz w:val="24"/>
          <w:szCs w:val="24"/>
          <w:lang w:eastAsia="de-CH"/>
          <w14:ligatures w14:val="none"/>
        </w:rPr>
        <w:t xml:space="preserve"> Ein intrazelluläres Tripeptid, das ROS neutralisiert und durch die Glutathion-Reduktase regeneriert wird.</w:t>
      </w:r>
    </w:p>
    <w:p w14:paraId="57E39A74"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Coenzym Q10:</w:t>
      </w:r>
      <w:r w:rsidRPr="008E0216">
        <w:rPr>
          <w:rFonts w:ascii="Aptos" w:eastAsia="Times New Roman" w:hAnsi="Aptos" w:cs="Times New Roman"/>
          <w:kern w:val="0"/>
          <w:sz w:val="24"/>
          <w:szCs w:val="24"/>
          <w:lang w:eastAsia="de-CH"/>
          <w14:ligatures w14:val="none"/>
        </w:rPr>
        <w:t xml:space="preserve"> Schützt mitochondriale Membranen und unterstützt die Elektronentransportkette.</w:t>
      </w:r>
    </w:p>
    <w:p w14:paraId="51A93EB0"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Niacin (Vitamin B3):</w:t>
      </w:r>
      <w:r w:rsidRPr="008E0216">
        <w:rPr>
          <w:rFonts w:ascii="Aptos" w:eastAsia="Times New Roman" w:hAnsi="Aptos" w:cs="Times New Roman"/>
          <w:kern w:val="0"/>
          <w:sz w:val="24"/>
          <w:szCs w:val="24"/>
          <w:lang w:eastAsia="de-CH"/>
          <w14:ligatures w14:val="none"/>
        </w:rPr>
        <w:t xml:space="preserve"> Essenziell für die Synthese von NAD+ und NADP+, die in Redoxreaktionen eine zentrale Rolle spielen.</w:t>
      </w:r>
    </w:p>
    <w:p w14:paraId="64D6CB04"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Selen:</w:t>
      </w:r>
      <w:r w:rsidRPr="008E0216">
        <w:rPr>
          <w:rFonts w:ascii="Aptos" w:eastAsia="Times New Roman" w:hAnsi="Aptos" w:cs="Times New Roman"/>
          <w:kern w:val="0"/>
          <w:sz w:val="24"/>
          <w:szCs w:val="24"/>
          <w:lang w:eastAsia="de-CH"/>
          <w14:ligatures w14:val="none"/>
        </w:rPr>
        <w:t xml:space="preserve"> Unterstützt die Aktivität der Glutathion-Peroxidase und anderer antioxidativer Enzyme.</w:t>
      </w:r>
    </w:p>
    <w:p w14:paraId="1F373391"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Tryptophan:</w:t>
      </w:r>
      <w:r w:rsidRPr="008E0216">
        <w:rPr>
          <w:rFonts w:ascii="Aptos" w:eastAsia="Times New Roman" w:hAnsi="Aptos" w:cs="Times New Roman"/>
          <w:kern w:val="0"/>
          <w:sz w:val="24"/>
          <w:szCs w:val="24"/>
          <w:lang w:eastAsia="de-CH"/>
          <w14:ligatures w14:val="none"/>
        </w:rPr>
        <w:t xml:space="preserve"> Ein Vorläufer von Niacin und Serotonin, dessen Verfügbarkeit unter oxidativem Stress reduziert sein kann.</w:t>
      </w:r>
    </w:p>
    <w:p w14:paraId="23C216B9" w14:textId="77777777" w:rsidR="008E0216" w:rsidRPr="008E0216" w:rsidRDefault="008E0216" w:rsidP="008E0216">
      <w:pPr>
        <w:numPr>
          <w:ilvl w:val="0"/>
          <w:numId w:val="5"/>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Taurin:</w:t>
      </w:r>
      <w:r w:rsidRPr="008E0216">
        <w:rPr>
          <w:rFonts w:ascii="Aptos" w:eastAsia="Times New Roman" w:hAnsi="Aptos" w:cs="Times New Roman"/>
          <w:kern w:val="0"/>
          <w:sz w:val="24"/>
          <w:szCs w:val="24"/>
          <w:lang w:eastAsia="de-CH"/>
          <w14:ligatures w14:val="none"/>
        </w:rPr>
        <w:t xml:space="preserve"> Ein schwefelhaltiges Molekül mit antioxidativen Eigenschaften, das auch membranstabilisierend wirkt.</w:t>
      </w:r>
    </w:p>
    <w:p w14:paraId="67EE70E6" w14:textId="2B70E014" w:rsidR="008E0216" w:rsidRPr="008E0216" w:rsidRDefault="00F96BF7"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F96BF7">
        <w:rPr>
          <w:rFonts w:ascii="Aptos" w:eastAsia="Times New Roman" w:hAnsi="Aptos" w:cs="Times New Roman"/>
          <w:kern w:val="0"/>
          <w:sz w:val="24"/>
          <w:szCs w:val="24"/>
          <w:lang w:eastAsia="de-CH"/>
          <w14:ligatures w14:val="none"/>
        </w:rPr>
        <w:t>Ein Defizit in antioxidativen Mechanismen kann die Fähigkeit des Körpers zur Regulation von oxidativem Stress erheblich beeinträchtigen und pathologische Prozesse fördern</w:t>
      </w:r>
      <w:r w:rsidR="008E0216" w:rsidRPr="008E0216">
        <w:rPr>
          <w:rFonts w:ascii="Aptos" w:eastAsia="Times New Roman" w:hAnsi="Aptos" w:cs="Times New Roman"/>
          <w:kern w:val="0"/>
          <w:sz w:val="24"/>
          <w:szCs w:val="24"/>
          <w:lang w:eastAsia="de-CH"/>
          <w14:ligatures w14:val="none"/>
        </w:rPr>
        <w:t>. Darüber hinaus könnten genetische Prädispositionen, wie Mutationen in antioxidativen Enzymen, die Anfälligkeit für oxidativen Stress und dessen Auswirkungen verstärken.</w:t>
      </w:r>
    </w:p>
    <w:p w14:paraId="416E2283" w14:textId="77777777" w:rsidR="008E0216" w:rsidRPr="008E0216" w:rsidRDefault="008E0216" w:rsidP="008E0216">
      <w:pPr>
        <w:spacing w:after="0"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pict w14:anchorId="26334B58">
          <v:rect id="_x0000_i1074" style="width:0;height:1.5pt" o:hralign="center" o:hrstd="t" o:hr="t" fillcolor="#a0a0a0" stroked="f"/>
        </w:pict>
      </w:r>
    </w:p>
    <w:p w14:paraId="392ED834" w14:textId="77777777" w:rsidR="008E0216" w:rsidRPr="008E0216" w:rsidRDefault="008E0216" w:rsidP="008E0216">
      <w:pPr>
        <w:spacing w:before="100" w:beforeAutospacing="1" w:after="100" w:afterAutospacing="1" w:line="240" w:lineRule="auto"/>
        <w:outlineLvl w:val="2"/>
        <w:rPr>
          <w:rFonts w:ascii="Aptos" w:eastAsia="Times New Roman" w:hAnsi="Aptos" w:cs="Times New Roman"/>
          <w:b/>
          <w:bCs/>
          <w:kern w:val="0"/>
          <w:sz w:val="27"/>
          <w:szCs w:val="27"/>
          <w:lang w:eastAsia="de-CH"/>
          <w14:ligatures w14:val="none"/>
        </w:rPr>
      </w:pPr>
      <w:r w:rsidRPr="008E0216">
        <w:rPr>
          <w:rFonts w:ascii="Aptos" w:eastAsia="Times New Roman" w:hAnsi="Aptos" w:cs="Times New Roman"/>
          <w:b/>
          <w:bCs/>
          <w:kern w:val="0"/>
          <w:sz w:val="27"/>
          <w:szCs w:val="27"/>
          <w:lang w:eastAsia="de-CH"/>
          <w14:ligatures w14:val="none"/>
        </w:rPr>
        <w:t>Pathogenese: Wechselwirkungen zwischen Stoffwechsel, Immunantwort und oxidativem Stress</w:t>
      </w:r>
    </w:p>
    <w:p w14:paraId="552909D9"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1. ROS und mitochondriale Dysfunktion</w:t>
      </w:r>
    </w:p>
    <w:p w14:paraId="226BA433"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Chronische Entzündungsprozesse, wie sie bei Long-COVID und Post-</w:t>
      </w:r>
      <w:proofErr w:type="spellStart"/>
      <w:r w:rsidRPr="008E0216">
        <w:rPr>
          <w:rFonts w:ascii="Aptos" w:eastAsia="Times New Roman" w:hAnsi="Aptos" w:cs="Times New Roman"/>
          <w:kern w:val="0"/>
          <w:sz w:val="24"/>
          <w:szCs w:val="24"/>
          <w:lang w:eastAsia="de-CH"/>
          <w14:ligatures w14:val="none"/>
        </w:rPr>
        <w:t>Vac</w:t>
      </w:r>
      <w:proofErr w:type="spellEnd"/>
      <w:r w:rsidRPr="008E0216">
        <w:rPr>
          <w:rFonts w:ascii="Aptos" w:eastAsia="Times New Roman" w:hAnsi="Aptos" w:cs="Times New Roman"/>
          <w:kern w:val="0"/>
          <w:sz w:val="24"/>
          <w:szCs w:val="24"/>
          <w:lang w:eastAsia="de-CH"/>
          <w14:ligatures w14:val="none"/>
        </w:rPr>
        <w:t xml:space="preserve"> beobachtet werden, fördern die Überproduktion von ROS in den Mitochondrien. Diese ROS können die Integrität der mitochondrialen Membranen schädigen, die ATP-Synthese beeinträchtigen und die Funktion der Elektronentransportkette stören. Langfristig führt dies zu einem Energieverlust, der sich in Symptomen wie Erschöpfung und Muskelschwäche manifestiert. Zudem entstehen durch die mitochondriale Dysfunktion sekundäre ROS, die den oxidativen Stress weiter verstärken. Diese Prozesse könnten erklären, warum sich viele Betroffene von körperlicher Belastung oder Stress nur langsam oder gar nicht erholen.</w:t>
      </w:r>
    </w:p>
    <w:p w14:paraId="1686EE41"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lastRenderedPageBreak/>
        <w:t>2. Dysregulation des Tryptophan-Stoffwechsels</w:t>
      </w:r>
    </w:p>
    <w:p w14:paraId="516EF028"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 xml:space="preserve">Unter oxidativem Stress wird der Tryptophan-Stoffwechsel durch Aktivierung der Indolamin-2,3-Dioxygenase (IDO) verändert. Tryptophan wird verstärkt in den </w:t>
      </w:r>
      <w:proofErr w:type="spellStart"/>
      <w:r w:rsidRPr="008E0216">
        <w:rPr>
          <w:rFonts w:ascii="Aptos" w:eastAsia="Times New Roman" w:hAnsi="Aptos" w:cs="Times New Roman"/>
          <w:kern w:val="0"/>
          <w:sz w:val="24"/>
          <w:szCs w:val="24"/>
          <w:lang w:eastAsia="de-CH"/>
          <w14:ligatures w14:val="none"/>
        </w:rPr>
        <w:t>Kynurenin</w:t>
      </w:r>
      <w:proofErr w:type="spellEnd"/>
      <w:r w:rsidRPr="008E0216">
        <w:rPr>
          <w:rFonts w:ascii="Aptos" w:eastAsia="Times New Roman" w:hAnsi="Aptos" w:cs="Times New Roman"/>
          <w:kern w:val="0"/>
          <w:sz w:val="24"/>
          <w:szCs w:val="24"/>
          <w:lang w:eastAsia="de-CH"/>
          <w14:ligatures w14:val="none"/>
        </w:rPr>
        <w:t xml:space="preserve">-Weg umgeleitet, was zu einer Reduktion der Serotoninsynthese führt. Dies kann neuropsychiatrische Symptome wie Depressionen, Angstzustände und Schlafstörungen hervorrufen. Gleichzeitig entstehen neurotoxische </w:t>
      </w:r>
      <w:proofErr w:type="spellStart"/>
      <w:r w:rsidRPr="008E0216">
        <w:rPr>
          <w:rFonts w:ascii="Aptos" w:eastAsia="Times New Roman" w:hAnsi="Aptos" w:cs="Times New Roman"/>
          <w:kern w:val="0"/>
          <w:sz w:val="24"/>
          <w:szCs w:val="24"/>
          <w:lang w:eastAsia="de-CH"/>
          <w14:ligatures w14:val="none"/>
        </w:rPr>
        <w:t>Kynurenin</w:t>
      </w:r>
      <w:proofErr w:type="spellEnd"/>
      <w:r w:rsidRPr="008E0216">
        <w:rPr>
          <w:rFonts w:ascii="Aptos" w:eastAsia="Times New Roman" w:hAnsi="Aptos" w:cs="Times New Roman"/>
          <w:kern w:val="0"/>
          <w:sz w:val="24"/>
          <w:szCs w:val="24"/>
          <w:lang w:eastAsia="de-CH"/>
          <w14:ligatures w14:val="none"/>
        </w:rPr>
        <w:t>-Metabolite, die Entzündungsprozesse und oxidative Schäden im Zentralnervensystem fördern können. Langfristig könnte diese Dysregulation auch neurodegenerative Prozesse begünstigen, was die kognitiven Einschränkungen vieler Patienten erklären könnte.</w:t>
      </w:r>
    </w:p>
    <w:p w14:paraId="27FFFF61"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3. Immunologische Dysregulation und TH2-Dominanz</w:t>
      </w:r>
    </w:p>
    <w:p w14:paraId="22F505B4" w14:textId="511EC12A"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Eine Verschiebung des Immunprofils hin zu einer TH2-Dominanz schwächt die zelluläre Immunabwehr. Dies erleichtert die Reaktivierung latenter Viren wie Epstein-Barr (EBV) und verschärft die Entzündungsprozesse. Zusätzlich kann eine übermä</w:t>
      </w:r>
      <w:r w:rsidR="00B72AEA">
        <w:rPr>
          <w:rFonts w:ascii="Aptos" w:eastAsia="Times New Roman" w:hAnsi="Aptos" w:cs="Times New Roman"/>
          <w:kern w:val="0"/>
          <w:sz w:val="24"/>
          <w:szCs w:val="24"/>
          <w:lang w:eastAsia="de-CH"/>
          <w14:ligatures w14:val="none"/>
        </w:rPr>
        <w:t>ss</w:t>
      </w:r>
      <w:r w:rsidRPr="008E0216">
        <w:rPr>
          <w:rFonts w:ascii="Aptos" w:eastAsia="Times New Roman" w:hAnsi="Aptos" w:cs="Times New Roman"/>
          <w:kern w:val="0"/>
          <w:sz w:val="24"/>
          <w:szCs w:val="24"/>
          <w:lang w:eastAsia="de-CH"/>
          <w14:ligatures w14:val="none"/>
        </w:rPr>
        <w:t>ige Freisetzung von Histamin systemische Entzündungen und allergieähnliche Symptome fördern, was den Gesamtzustand der Patienten weiter verschlechtert. Die TH2-Dominanz könnte auch erklären, warum einige Betroffene stärker auf Umweltreize wie Allergene oder Toxine reagieren.</w:t>
      </w:r>
    </w:p>
    <w:p w14:paraId="2CE89F96"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 xml:space="preserve">4. Insulin- und </w:t>
      </w:r>
      <w:proofErr w:type="spellStart"/>
      <w:r w:rsidRPr="008E0216">
        <w:rPr>
          <w:rFonts w:ascii="Aptos" w:eastAsia="Times New Roman" w:hAnsi="Aptos" w:cs="Times New Roman"/>
          <w:b/>
          <w:bCs/>
          <w:kern w:val="0"/>
          <w:sz w:val="24"/>
          <w:szCs w:val="24"/>
          <w:lang w:eastAsia="de-CH"/>
          <w14:ligatures w14:val="none"/>
        </w:rPr>
        <w:t>Glukagonsynthese</w:t>
      </w:r>
      <w:proofErr w:type="spellEnd"/>
    </w:p>
    <w:p w14:paraId="733F051F"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 xml:space="preserve">Oxidativer Stress und Entzündungen wirken sich negativ auf den endokrinen Stoffwechsel aus. Dies führt zu einer gestörten Insulin- und </w:t>
      </w:r>
      <w:proofErr w:type="spellStart"/>
      <w:r w:rsidRPr="008E0216">
        <w:rPr>
          <w:rFonts w:ascii="Aptos" w:eastAsia="Times New Roman" w:hAnsi="Aptos" w:cs="Times New Roman"/>
          <w:kern w:val="0"/>
          <w:sz w:val="24"/>
          <w:szCs w:val="24"/>
          <w:lang w:eastAsia="de-CH"/>
          <w14:ligatures w14:val="none"/>
        </w:rPr>
        <w:t>Glukagonregulation</w:t>
      </w:r>
      <w:proofErr w:type="spellEnd"/>
      <w:r w:rsidRPr="008E0216">
        <w:rPr>
          <w:rFonts w:ascii="Aptos" w:eastAsia="Times New Roman" w:hAnsi="Aptos" w:cs="Times New Roman"/>
          <w:kern w:val="0"/>
          <w:sz w:val="24"/>
          <w:szCs w:val="24"/>
          <w:lang w:eastAsia="de-CH"/>
          <w14:ligatures w14:val="none"/>
        </w:rPr>
        <w:t>, die den Energiestoffwechsel destabilisiert. Insulinresistenz und damit einhergehende metabolische Dysfunktionen sind häufige Begleiterscheinungen, die die Persistenz von Fatigue und Muskelschwäche erklären könnten. Diese Effekte könnten auch eine Rolle bei der Entstehung sekundärer metabolischer Syndrome wie Typ-2-Diabetes spielen.</w:t>
      </w:r>
    </w:p>
    <w:p w14:paraId="53B468FA" w14:textId="77777777" w:rsidR="008E0216" w:rsidRPr="008E0216" w:rsidRDefault="008E0216" w:rsidP="008E0216">
      <w:pPr>
        <w:spacing w:after="0"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pict w14:anchorId="18DE4344">
          <v:rect id="_x0000_i1075" style="width:0;height:1.5pt" o:hralign="center" o:hrstd="t" o:hr="t" fillcolor="#a0a0a0" stroked="f"/>
        </w:pict>
      </w:r>
    </w:p>
    <w:p w14:paraId="4B2C1C41" w14:textId="77777777" w:rsidR="008E0216" w:rsidRPr="008E0216" w:rsidRDefault="008E0216" w:rsidP="008E0216">
      <w:pPr>
        <w:spacing w:before="100" w:beforeAutospacing="1" w:after="100" w:afterAutospacing="1" w:line="240" w:lineRule="auto"/>
        <w:outlineLvl w:val="2"/>
        <w:rPr>
          <w:rFonts w:ascii="Aptos" w:eastAsia="Times New Roman" w:hAnsi="Aptos" w:cs="Times New Roman"/>
          <w:b/>
          <w:bCs/>
          <w:kern w:val="0"/>
          <w:sz w:val="27"/>
          <w:szCs w:val="27"/>
          <w:lang w:eastAsia="de-CH"/>
          <w14:ligatures w14:val="none"/>
        </w:rPr>
      </w:pPr>
      <w:r w:rsidRPr="008E0216">
        <w:rPr>
          <w:rFonts w:ascii="Aptos" w:eastAsia="Times New Roman" w:hAnsi="Aptos" w:cs="Times New Roman"/>
          <w:b/>
          <w:bCs/>
          <w:kern w:val="0"/>
          <w:sz w:val="27"/>
          <w:szCs w:val="27"/>
          <w:lang w:eastAsia="de-CH"/>
          <w14:ligatures w14:val="none"/>
        </w:rPr>
        <w:t>Forschungsansätze und diagnostische Perspektiven</w:t>
      </w:r>
    </w:p>
    <w:p w14:paraId="7644D6DB"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Interdisziplinäre Untersuchungsansätze</w:t>
      </w:r>
    </w:p>
    <w:p w14:paraId="49F38951" w14:textId="77777777" w:rsidR="008E0216" w:rsidRPr="008E0216" w:rsidRDefault="008E0216" w:rsidP="008E0216">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Die Pathogenese von Long-COVID und Post-</w:t>
      </w:r>
      <w:proofErr w:type="spellStart"/>
      <w:r w:rsidRPr="008E0216">
        <w:rPr>
          <w:rFonts w:ascii="Aptos" w:eastAsia="Times New Roman" w:hAnsi="Aptos" w:cs="Times New Roman"/>
          <w:kern w:val="0"/>
          <w:sz w:val="24"/>
          <w:szCs w:val="24"/>
          <w:lang w:eastAsia="de-CH"/>
          <w14:ligatures w14:val="none"/>
        </w:rPr>
        <w:t>Vac</w:t>
      </w:r>
      <w:proofErr w:type="spellEnd"/>
      <w:r w:rsidRPr="008E0216">
        <w:rPr>
          <w:rFonts w:ascii="Aptos" w:eastAsia="Times New Roman" w:hAnsi="Aptos" w:cs="Times New Roman"/>
          <w:kern w:val="0"/>
          <w:sz w:val="24"/>
          <w:szCs w:val="24"/>
          <w:lang w:eastAsia="de-CH"/>
          <w14:ligatures w14:val="none"/>
        </w:rPr>
        <w:t xml:space="preserve"> wird derzeit durch verschiedene Forschungsrichtungen beleuchtet:</w:t>
      </w:r>
    </w:p>
    <w:p w14:paraId="1EE7C8B6"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EBV-Reaktivierung:</w:t>
      </w:r>
      <w:r w:rsidRPr="008E0216">
        <w:rPr>
          <w:rFonts w:ascii="Aptos" w:eastAsia="Times New Roman" w:hAnsi="Aptos" w:cs="Times New Roman"/>
          <w:kern w:val="0"/>
          <w:sz w:val="24"/>
          <w:szCs w:val="24"/>
          <w:lang w:eastAsia="de-CH"/>
          <w14:ligatures w14:val="none"/>
        </w:rPr>
        <w:t xml:space="preserve"> Untersuchung der Rolle latenter Viren bei der Chronifizierung von Symptomen.</w:t>
      </w:r>
    </w:p>
    <w:p w14:paraId="3D0BB141"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Oxidativer Stress:</w:t>
      </w:r>
      <w:r w:rsidRPr="008E0216">
        <w:rPr>
          <w:rFonts w:ascii="Aptos" w:eastAsia="Times New Roman" w:hAnsi="Aptos" w:cs="Times New Roman"/>
          <w:kern w:val="0"/>
          <w:sz w:val="24"/>
          <w:szCs w:val="24"/>
          <w:lang w:eastAsia="de-CH"/>
          <w14:ligatures w14:val="none"/>
        </w:rPr>
        <w:t xml:space="preserve"> Messung spezifischer Marker wie Glutathion, Lipidperoxiden und ROS-induzierter Schäden.</w:t>
      </w:r>
    </w:p>
    <w:p w14:paraId="049BDADE"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Tryptophan-Stoffwechsel:</w:t>
      </w:r>
      <w:r w:rsidRPr="008E0216">
        <w:rPr>
          <w:rFonts w:ascii="Aptos" w:eastAsia="Times New Roman" w:hAnsi="Aptos" w:cs="Times New Roman"/>
          <w:kern w:val="0"/>
          <w:sz w:val="24"/>
          <w:szCs w:val="24"/>
          <w:lang w:eastAsia="de-CH"/>
          <w14:ligatures w14:val="none"/>
        </w:rPr>
        <w:t xml:space="preserve"> Analyse von </w:t>
      </w:r>
      <w:proofErr w:type="spellStart"/>
      <w:r w:rsidRPr="008E0216">
        <w:rPr>
          <w:rFonts w:ascii="Aptos" w:eastAsia="Times New Roman" w:hAnsi="Aptos" w:cs="Times New Roman"/>
          <w:kern w:val="0"/>
          <w:sz w:val="24"/>
          <w:szCs w:val="24"/>
          <w:lang w:eastAsia="de-CH"/>
          <w14:ligatures w14:val="none"/>
        </w:rPr>
        <w:t>Kynurenin</w:t>
      </w:r>
      <w:proofErr w:type="spellEnd"/>
      <w:r w:rsidRPr="008E0216">
        <w:rPr>
          <w:rFonts w:ascii="Aptos" w:eastAsia="Times New Roman" w:hAnsi="Aptos" w:cs="Times New Roman"/>
          <w:kern w:val="0"/>
          <w:sz w:val="24"/>
          <w:szCs w:val="24"/>
          <w:lang w:eastAsia="de-CH"/>
          <w14:ligatures w14:val="none"/>
        </w:rPr>
        <w:t>-Derivaten und deren Einfluss auf neurokognitive Funktionen.</w:t>
      </w:r>
    </w:p>
    <w:p w14:paraId="6A28185D"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Immunologische Verschiebungen:</w:t>
      </w:r>
      <w:r w:rsidRPr="008E0216">
        <w:rPr>
          <w:rFonts w:ascii="Aptos" w:eastAsia="Times New Roman" w:hAnsi="Aptos" w:cs="Times New Roman"/>
          <w:kern w:val="0"/>
          <w:sz w:val="24"/>
          <w:szCs w:val="24"/>
          <w:lang w:eastAsia="de-CH"/>
          <w14:ligatures w14:val="none"/>
        </w:rPr>
        <w:t xml:space="preserve"> Untersuchung von TH1/TH2-Dysbalancen und inflammatorischen Zytokinen.</w:t>
      </w:r>
    </w:p>
    <w:p w14:paraId="1F3B9DF3"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lastRenderedPageBreak/>
        <w:t>Histamin-Signalwege:</w:t>
      </w:r>
      <w:r w:rsidRPr="008E0216">
        <w:rPr>
          <w:rFonts w:ascii="Aptos" w:eastAsia="Times New Roman" w:hAnsi="Aptos" w:cs="Times New Roman"/>
          <w:kern w:val="0"/>
          <w:sz w:val="24"/>
          <w:szCs w:val="24"/>
          <w:lang w:eastAsia="de-CH"/>
          <w14:ligatures w14:val="none"/>
        </w:rPr>
        <w:t xml:space="preserve"> Bewertung der Mastzellaktivität und deren Einfluss auf systemische Entzündungen.</w:t>
      </w:r>
    </w:p>
    <w:p w14:paraId="4D2737E9" w14:textId="77777777" w:rsidR="008E0216" w:rsidRPr="008E0216" w:rsidRDefault="008E0216" w:rsidP="008E0216">
      <w:pPr>
        <w:numPr>
          <w:ilvl w:val="0"/>
          <w:numId w:val="6"/>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Mitochondriale Dysfunktion:</w:t>
      </w:r>
      <w:r w:rsidRPr="008E0216">
        <w:rPr>
          <w:rFonts w:ascii="Aptos" w:eastAsia="Times New Roman" w:hAnsi="Aptos" w:cs="Times New Roman"/>
          <w:kern w:val="0"/>
          <w:sz w:val="24"/>
          <w:szCs w:val="24"/>
          <w:lang w:eastAsia="de-CH"/>
          <w14:ligatures w14:val="none"/>
        </w:rPr>
        <w:t xml:space="preserve"> Quantifizierung der ATP-Produktion und Identifikation von mitochondrialen DNA-Mutationen.</w:t>
      </w:r>
    </w:p>
    <w:p w14:paraId="7498CE2B"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Diagnostische Biomarker</w:t>
      </w:r>
    </w:p>
    <w:p w14:paraId="252A305F" w14:textId="77777777" w:rsidR="008E0216" w:rsidRPr="008E0216" w:rsidRDefault="008E0216" w:rsidP="008E0216">
      <w:pPr>
        <w:numPr>
          <w:ilvl w:val="0"/>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Oxidativer Stress:</w:t>
      </w:r>
    </w:p>
    <w:p w14:paraId="5E8E83F4"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Glutathion-Status:</w:t>
      </w:r>
      <w:r w:rsidRPr="008E0216">
        <w:rPr>
          <w:rFonts w:ascii="Aptos" w:eastAsia="Times New Roman" w:hAnsi="Aptos" w:cs="Times New Roman"/>
          <w:kern w:val="0"/>
          <w:sz w:val="24"/>
          <w:szCs w:val="24"/>
          <w:lang w:eastAsia="de-CH"/>
          <w14:ligatures w14:val="none"/>
        </w:rPr>
        <w:t xml:space="preserve"> Marker für antioxidative Kapazität.</w:t>
      </w:r>
    </w:p>
    <w:p w14:paraId="1C690082"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8-ISO-Prostaglandin:</w:t>
      </w:r>
      <w:r w:rsidRPr="008E0216">
        <w:rPr>
          <w:rFonts w:ascii="Aptos" w:eastAsia="Times New Roman" w:hAnsi="Aptos" w:cs="Times New Roman"/>
          <w:kern w:val="0"/>
          <w:sz w:val="24"/>
          <w:szCs w:val="24"/>
          <w:lang w:eastAsia="de-CH"/>
          <w14:ligatures w14:val="none"/>
        </w:rPr>
        <w:t xml:space="preserve"> Indikator für </w:t>
      </w:r>
      <w:proofErr w:type="spellStart"/>
      <w:r w:rsidRPr="008E0216">
        <w:rPr>
          <w:rFonts w:ascii="Aptos" w:eastAsia="Times New Roman" w:hAnsi="Aptos" w:cs="Times New Roman"/>
          <w:kern w:val="0"/>
          <w:sz w:val="24"/>
          <w:szCs w:val="24"/>
          <w:lang w:eastAsia="de-CH"/>
          <w14:ligatures w14:val="none"/>
        </w:rPr>
        <w:t>Lipidperoxidation</w:t>
      </w:r>
      <w:proofErr w:type="spellEnd"/>
      <w:r w:rsidRPr="008E0216">
        <w:rPr>
          <w:rFonts w:ascii="Aptos" w:eastAsia="Times New Roman" w:hAnsi="Aptos" w:cs="Times New Roman"/>
          <w:kern w:val="0"/>
          <w:sz w:val="24"/>
          <w:szCs w:val="24"/>
          <w:lang w:eastAsia="de-CH"/>
          <w14:ligatures w14:val="none"/>
        </w:rPr>
        <w:t>.</w:t>
      </w:r>
    </w:p>
    <w:p w14:paraId="03453F0A"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proofErr w:type="spellStart"/>
      <w:r w:rsidRPr="008E0216">
        <w:rPr>
          <w:rFonts w:ascii="Aptos" w:eastAsia="Times New Roman" w:hAnsi="Aptos" w:cs="Times New Roman"/>
          <w:b/>
          <w:bCs/>
          <w:kern w:val="0"/>
          <w:sz w:val="24"/>
          <w:szCs w:val="24"/>
          <w:lang w:eastAsia="de-CH"/>
          <w14:ligatures w14:val="none"/>
        </w:rPr>
        <w:t>Superoxiddismutase</w:t>
      </w:r>
      <w:proofErr w:type="spellEnd"/>
      <w:r w:rsidRPr="008E0216">
        <w:rPr>
          <w:rFonts w:ascii="Aptos" w:eastAsia="Times New Roman" w:hAnsi="Aptos" w:cs="Times New Roman"/>
          <w:b/>
          <w:bCs/>
          <w:kern w:val="0"/>
          <w:sz w:val="24"/>
          <w:szCs w:val="24"/>
          <w:lang w:eastAsia="de-CH"/>
          <w14:ligatures w14:val="none"/>
        </w:rPr>
        <w:t>-Aktivität:</w:t>
      </w:r>
      <w:r w:rsidRPr="008E0216">
        <w:rPr>
          <w:rFonts w:ascii="Aptos" w:eastAsia="Times New Roman" w:hAnsi="Aptos" w:cs="Times New Roman"/>
          <w:kern w:val="0"/>
          <w:sz w:val="24"/>
          <w:szCs w:val="24"/>
          <w:lang w:eastAsia="de-CH"/>
          <w14:ligatures w14:val="none"/>
        </w:rPr>
        <w:t xml:space="preserve"> Enzymatische ROS-Neutralisation.</w:t>
      </w:r>
    </w:p>
    <w:p w14:paraId="129024DF" w14:textId="77777777" w:rsidR="008E0216" w:rsidRPr="008E0216" w:rsidRDefault="008E0216" w:rsidP="008E0216">
      <w:pPr>
        <w:numPr>
          <w:ilvl w:val="0"/>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Mitochondriale Funktion:</w:t>
      </w:r>
    </w:p>
    <w:p w14:paraId="3EE3485F"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ATP-Synthese und Membranpotentialmessungen.</w:t>
      </w:r>
    </w:p>
    <w:p w14:paraId="305C2853"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Sequenzierung mitochondrialer DNA zur Detektion von Mutationen.</w:t>
      </w:r>
    </w:p>
    <w:p w14:paraId="5A83BA63" w14:textId="77777777" w:rsidR="008E0216" w:rsidRPr="008E0216" w:rsidRDefault="008E0216" w:rsidP="008E0216">
      <w:pPr>
        <w:numPr>
          <w:ilvl w:val="0"/>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Immunstatus:</w:t>
      </w:r>
    </w:p>
    <w:p w14:paraId="0A9257B0"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Zytokin-Profile zur Differenzierung von TH1/TH2-Antworten.</w:t>
      </w:r>
    </w:p>
    <w:p w14:paraId="2B3AA7BF" w14:textId="77777777" w:rsidR="008E0216" w:rsidRPr="008E0216" w:rsidRDefault="008E0216" w:rsidP="008E0216">
      <w:pPr>
        <w:numPr>
          <w:ilvl w:val="1"/>
          <w:numId w:val="7"/>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t>Mastzellaktivierungsmarker und Histamin-Level.</w:t>
      </w:r>
    </w:p>
    <w:p w14:paraId="044215B2" w14:textId="77777777" w:rsidR="008E0216" w:rsidRPr="008E0216" w:rsidRDefault="008E0216" w:rsidP="008E0216">
      <w:pPr>
        <w:spacing w:after="0"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kern w:val="0"/>
          <w:sz w:val="24"/>
          <w:szCs w:val="24"/>
          <w:lang w:eastAsia="de-CH"/>
          <w14:ligatures w14:val="none"/>
        </w:rPr>
        <w:pict w14:anchorId="21C74871">
          <v:rect id="_x0000_i1076" style="width:0;height:1.5pt" o:hralign="center" o:hrstd="t" o:hr="t" fillcolor="#a0a0a0" stroked="f"/>
        </w:pict>
      </w:r>
    </w:p>
    <w:p w14:paraId="7646EFD4" w14:textId="77777777" w:rsidR="008E0216" w:rsidRPr="008E0216" w:rsidRDefault="008E0216" w:rsidP="008E0216">
      <w:pPr>
        <w:spacing w:before="100" w:beforeAutospacing="1" w:after="100" w:afterAutospacing="1" w:line="240" w:lineRule="auto"/>
        <w:outlineLvl w:val="2"/>
        <w:rPr>
          <w:rFonts w:ascii="Aptos" w:eastAsia="Times New Roman" w:hAnsi="Aptos" w:cs="Times New Roman"/>
          <w:b/>
          <w:bCs/>
          <w:kern w:val="0"/>
          <w:sz w:val="27"/>
          <w:szCs w:val="27"/>
          <w:lang w:eastAsia="de-CH"/>
          <w14:ligatures w14:val="none"/>
        </w:rPr>
      </w:pPr>
      <w:r w:rsidRPr="008E0216">
        <w:rPr>
          <w:rFonts w:ascii="Aptos" w:eastAsia="Times New Roman" w:hAnsi="Aptos" w:cs="Times New Roman"/>
          <w:b/>
          <w:bCs/>
          <w:kern w:val="0"/>
          <w:sz w:val="27"/>
          <w:szCs w:val="27"/>
          <w:lang w:eastAsia="de-CH"/>
          <w14:ligatures w14:val="none"/>
        </w:rPr>
        <w:t>Therapeutische Ansätze</w:t>
      </w:r>
    </w:p>
    <w:p w14:paraId="1A6B91A0" w14:textId="77777777" w:rsidR="008E0216" w:rsidRPr="008E0216" w:rsidRDefault="008E0216" w:rsidP="008E0216">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Hypothetische Interventionen und Zufuhr essenzieller Substanzen</w:t>
      </w:r>
    </w:p>
    <w:p w14:paraId="372E6660" w14:textId="77777777" w:rsidR="00CE7AC0" w:rsidRDefault="008E0216" w:rsidP="0070636D">
      <w:pPr>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Reduktion von oxidativem Stress:</w:t>
      </w:r>
      <w:r w:rsidRPr="008E0216">
        <w:rPr>
          <w:rFonts w:ascii="Aptos" w:eastAsia="Times New Roman" w:hAnsi="Aptos" w:cs="Times New Roman"/>
          <w:kern w:val="0"/>
          <w:sz w:val="24"/>
          <w:szCs w:val="24"/>
          <w:lang w:eastAsia="de-CH"/>
          <w14:ligatures w14:val="none"/>
        </w:rPr>
        <w:t xml:space="preserve"> </w:t>
      </w:r>
      <w:r w:rsidR="00CE7AC0" w:rsidRPr="00CE7AC0">
        <w:rPr>
          <w:rFonts w:ascii="Aptos" w:eastAsia="Times New Roman" w:hAnsi="Aptos" w:cs="Times New Roman"/>
          <w:kern w:val="0"/>
          <w:sz w:val="24"/>
          <w:szCs w:val="24"/>
          <w:lang w:eastAsia="de-CH"/>
          <w14:ligatures w14:val="none"/>
        </w:rPr>
        <w:t>Die potenzielle Wirksamkeit von Antioxidantien wie Vitamin C, Glutathion, Niacin (Vitamin B3) und Coenzym Q10 sollte in klinischen Studien systematisch untersucht werden.</w:t>
      </w:r>
    </w:p>
    <w:p w14:paraId="4546E256" w14:textId="7C3C7A57" w:rsidR="008E0216" w:rsidRPr="008E0216" w:rsidRDefault="008E0216" w:rsidP="0070636D">
      <w:pPr>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Zufuhr essenzieller Metabolite:</w:t>
      </w:r>
      <w:r w:rsidRPr="008E0216">
        <w:rPr>
          <w:rFonts w:ascii="Aptos" w:eastAsia="Times New Roman" w:hAnsi="Aptos" w:cs="Times New Roman"/>
          <w:kern w:val="0"/>
          <w:sz w:val="24"/>
          <w:szCs w:val="24"/>
          <w:lang w:eastAsia="de-CH"/>
          <w14:ligatures w14:val="none"/>
        </w:rPr>
        <w:t xml:space="preserve"> Tryptophan und Taurin könnten ebenfalls entscheidende Rollen spielen, da sie antioxidative und zellschützende Eigenschaften aufweisen und zentrale Stoffwechselprozesse unterstützen.</w:t>
      </w:r>
    </w:p>
    <w:p w14:paraId="4B65CCBE" w14:textId="77777777" w:rsidR="008E0216" w:rsidRPr="008E0216" w:rsidRDefault="008E0216" w:rsidP="008E0216">
      <w:pPr>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Mitochondriale Unterstützung:</w:t>
      </w:r>
      <w:r w:rsidRPr="008E0216">
        <w:rPr>
          <w:rFonts w:ascii="Aptos" w:eastAsia="Times New Roman" w:hAnsi="Aptos" w:cs="Times New Roman"/>
          <w:kern w:val="0"/>
          <w:sz w:val="24"/>
          <w:szCs w:val="24"/>
          <w:lang w:eastAsia="de-CH"/>
          <w14:ligatures w14:val="none"/>
        </w:rPr>
        <w:t xml:space="preserve"> Supplementation mit NADH, Alpha-</w:t>
      </w:r>
      <w:proofErr w:type="spellStart"/>
      <w:r w:rsidRPr="008E0216">
        <w:rPr>
          <w:rFonts w:ascii="Aptos" w:eastAsia="Times New Roman" w:hAnsi="Aptos" w:cs="Times New Roman"/>
          <w:kern w:val="0"/>
          <w:sz w:val="24"/>
          <w:szCs w:val="24"/>
          <w:lang w:eastAsia="de-CH"/>
          <w14:ligatures w14:val="none"/>
        </w:rPr>
        <w:t>Liponsäure</w:t>
      </w:r>
      <w:proofErr w:type="spellEnd"/>
      <w:r w:rsidRPr="008E0216">
        <w:rPr>
          <w:rFonts w:ascii="Aptos" w:eastAsia="Times New Roman" w:hAnsi="Aptos" w:cs="Times New Roman"/>
          <w:kern w:val="0"/>
          <w:sz w:val="24"/>
          <w:szCs w:val="24"/>
          <w:lang w:eastAsia="de-CH"/>
          <w14:ligatures w14:val="none"/>
        </w:rPr>
        <w:t xml:space="preserve"> und L-Carnitin zur Förderung der mitochondrialen Funktion und ATP-Synthese.</w:t>
      </w:r>
    </w:p>
    <w:p w14:paraId="1B6C6426" w14:textId="77777777" w:rsidR="008E0216" w:rsidRPr="008E0216" w:rsidRDefault="008E0216" w:rsidP="008E0216">
      <w:pPr>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8E0216">
        <w:rPr>
          <w:rFonts w:ascii="Aptos" w:eastAsia="Times New Roman" w:hAnsi="Aptos" w:cs="Times New Roman"/>
          <w:b/>
          <w:bCs/>
          <w:kern w:val="0"/>
          <w:sz w:val="24"/>
          <w:szCs w:val="24"/>
          <w:lang w:eastAsia="de-CH"/>
          <w14:ligatures w14:val="none"/>
        </w:rPr>
        <w:t>Immunmodulation:</w:t>
      </w:r>
      <w:r w:rsidRPr="008E0216">
        <w:rPr>
          <w:rFonts w:ascii="Aptos" w:eastAsia="Times New Roman" w:hAnsi="Aptos" w:cs="Times New Roman"/>
          <w:kern w:val="0"/>
          <w:sz w:val="24"/>
          <w:szCs w:val="24"/>
          <w:lang w:eastAsia="de-CH"/>
          <w14:ligatures w14:val="none"/>
        </w:rPr>
        <w:t xml:space="preserve"> Immunsuppressive Medikamente wie Leflunomid oder </w:t>
      </w:r>
      <w:proofErr w:type="spellStart"/>
      <w:r w:rsidRPr="008E0216">
        <w:rPr>
          <w:rFonts w:ascii="Aptos" w:eastAsia="Times New Roman" w:hAnsi="Aptos" w:cs="Times New Roman"/>
          <w:kern w:val="0"/>
          <w:sz w:val="24"/>
          <w:szCs w:val="24"/>
          <w:lang w:eastAsia="de-CH"/>
          <w14:ligatures w14:val="none"/>
        </w:rPr>
        <w:t>Omalizumab</w:t>
      </w:r>
      <w:proofErr w:type="spellEnd"/>
      <w:r w:rsidRPr="008E0216">
        <w:rPr>
          <w:rFonts w:ascii="Aptos" w:eastAsia="Times New Roman" w:hAnsi="Aptos" w:cs="Times New Roman"/>
          <w:kern w:val="0"/>
          <w:sz w:val="24"/>
          <w:szCs w:val="24"/>
          <w:lang w:eastAsia="de-CH"/>
          <w14:ligatures w14:val="none"/>
        </w:rPr>
        <w:t xml:space="preserve"> könnten in Betracht gezogen werden, um die überaktive Immunantwort zu dämpfen. Diese könnten helfen, die Zeit zu überbrücken, bis die Viruspersistenz reduziert ist.</w:t>
      </w:r>
    </w:p>
    <w:p w14:paraId="0B129829" w14:textId="3D37448E" w:rsidR="00B774FD" w:rsidRPr="00B774FD" w:rsidRDefault="008E0216" w:rsidP="00B774FD">
      <w:pPr>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proofErr w:type="spellStart"/>
      <w:r w:rsidRPr="008E0216">
        <w:rPr>
          <w:rFonts w:ascii="Aptos" w:eastAsia="Times New Roman" w:hAnsi="Aptos" w:cs="Times New Roman"/>
          <w:b/>
          <w:bCs/>
          <w:kern w:val="0"/>
          <w:sz w:val="24"/>
          <w:szCs w:val="24"/>
          <w:lang w:eastAsia="de-CH"/>
          <w14:ligatures w14:val="none"/>
        </w:rPr>
        <w:t>Histaminregulation</w:t>
      </w:r>
      <w:proofErr w:type="spellEnd"/>
      <w:r w:rsidRPr="008E0216">
        <w:rPr>
          <w:rFonts w:ascii="Aptos" w:eastAsia="Times New Roman" w:hAnsi="Aptos" w:cs="Times New Roman"/>
          <w:b/>
          <w:bCs/>
          <w:kern w:val="0"/>
          <w:sz w:val="24"/>
          <w:szCs w:val="24"/>
          <w:lang w:eastAsia="de-CH"/>
          <w14:ligatures w14:val="none"/>
        </w:rPr>
        <w:t>:</w:t>
      </w:r>
      <w:r w:rsidRPr="008E0216">
        <w:rPr>
          <w:rFonts w:ascii="Aptos" w:eastAsia="Times New Roman" w:hAnsi="Aptos" w:cs="Times New Roman"/>
          <w:kern w:val="0"/>
          <w:sz w:val="24"/>
          <w:szCs w:val="24"/>
          <w:lang w:eastAsia="de-CH"/>
          <w14:ligatures w14:val="none"/>
        </w:rPr>
        <w:t xml:space="preserve"> Der Einsatz von Antihistaminika oder Mastzellstabilisatoren könnte bei der Kontrolle von Entzündungen und allergieähnlichen Symptomen hilfreich sein.</w:t>
      </w:r>
    </w:p>
    <w:p w14:paraId="6E6864D3" w14:textId="3189B5DC" w:rsidR="00B774FD" w:rsidRPr="00B774FD" w:rsidRDefault="00B774FD" w:rsidP="00B774FD">
      <w:pPr>
        <w:spacing w:before="100" w:beforeAutospacing="1" w:after="100" w:afterAutospacing="1" w:line="240" w:lineRule="auto"/>
        <w:rPr>
          <w:rFonts w:ascii="Aptos" w:eastAsia="Times New Roman" w:hAnsi="Aptos" w:cs="Times New Roman"/>
          <w:kern w:val="0"/>
          <w:sz w:val="24"/>
          <w:szCs w:val="24"/>
          <w:lang w:eastAsia="de-CH"/>
          <w14:ligatures w14:val="none"/>
        </w:rPr>
      </w:pPr>
      <w:r w:rsidRPr="00B774FD">
        <w:rPr>
          <w:rFonts w:ascii="Aptos" w:eastAsia="Times New Roman" w:hAnsi="Aptos" w:cs="Times New Roman"/>
          <w:b/>
          <w:bCs/>
          <w:kern w:val="0"/>
          <w:sz w:val="24"/>
          <w:szCs w:val="24"/>
          <w:lang w:eastAsia="de-CH"/>
          <w14:ligatures w14:val="none"/>
        </w:rPr>
        <w:t>Vorsicht bei therapeutischen Ansätzen</w:t>
      </w:r>
    </w:p>
    <w:p w14:paraId="35F0DE53" w14:textId="77777777" w:rsidR="00B774FD" w:rsidRPr="00B774FD" w:rsidRDefault="00B774FD" w:rsidP="00B774FD">
      <w:pPr>
        <w:pStyle w:val="Listenabsatz"/>
        <w:numPr>
          <w:ilvl w:val="0"/>
          <w:numId w:val="8"/>
        </w:numPr>
        <w:spacing w:before="100" w:beforeAutospacing="1" w:after="100" w:afterAutospacing="1" w:line="240" w:lineRule="auto"/>
        <w:rPr>
          <w:rFonts w:ascii="Aptos" w:eastAsia="Times New Roman" w:hAnsi="Aptos" w:cs="Times New Roman"/>
          <w:kern w:val="0"/>
          <w:sz w:val="24"/>
          <w:szCs w:val="24"/>
          <w:lang w:eastAsia="de-CH"/>
          <w14:ligatures w14:val="none"/>
        </w:rPr>
      </w:pPr>
      <w:r w:rsidRPr="00B774FD">
        <w:rPr>
          <w:rFonts w:ascii="Aptos" w:eastAsia="Times New Roman" w:hAnsi="Aptos" w:cs="Times New Roman"/>
          <w:kern w:val="0"/>
          <w:sz w:val="24"/>
          <w:szCs w:val="24"/>
          <w:lang w:eastAsia="de-CH"/>
          <w14:ligatures w14:val="none"/>
        </w:rPr>
        <w:t>Die Therapie von Long-COVID und Post-</w:t>
      </w:r>
      <w:proofErr w:type="spellStart"/>
      <w:r w:rsidRPr="00B774FD">
        <w:rPr>
          <w:rFonts w:ascii="Aptos" w:eastAsia="Times New Roman" w:hAnsi="Aptos" w:cs="Times New Roman"/>
          <w:kern w:val="0"/>
          <w:sz w:val="24"/>
          <w:szCs w:val="24"/>
          <w:lang w:eastAsia="de-CH"/>
          <w14:ligatures w14:val="none"/>
        </w:rPr>
        <w:t>Vac</w:t>
      </w:r>
      <w:proofErr w:type="spellEnd"/>
      <w:r w:rsidRPr="00B774FD">
        <w:rPr>
          <w:rFonts w:ascii="Aptos" w:eastAsia="Times New Roman" w:hAnsi="Aptos" w:cs="Times New Roman"/>
          <w:kern w:val="0"/>
          <w:sz w:val="24"/>
          <w:szCs w:val="24"/>
          <w:lang w:eastAsia="de-CH"/>
          <w14:ligatures w14:val="none"/>
        </w:rPr>
        <w:t xml:space="preserve"> stellt eine komplexe Herausforderung dar. Obwohl viele Mechanismen und potenzielle Interventionen bekannt sind, bleiben die spezifischen Ursachen und idealen Behandlungsstrategien ein noch zu lösendes Puzzle. Es ist entscheidend, therapeutische Ansätze systematisch und evidenzbasiert zu evaluieren, ohne voreilige Schlüsse zu ziehen.</w:t>
      </w:r>
    </w:p>
    <w:p w14:paraId="1289C195" w14:textId="499961C8" w:rsidR="002A2A14" w:rsidRPr="002A2A14" w:rsidRDefault="00B774FD" w:rsidP="002A2A14">
      <w:pPr>
        <w:pStyle w:val="StandardWeb"/>
        <w:rPr>
          <w:rFonts w:ascii="Aptos" w:hAnsi="Aptos"/>
        </w:rPr>
      </w:pPr>
      <w:r w:rsidRPr="00B774FD">
        <w:rPr>
          <w:rFonts w:ascii="Aptos" w:hAnsi="Aptos"/>
        </w:rPr>
        <w:lastRenderedPageBreak/>
        <w:t xml:space="preserve">Eine besondere Herausforderung bleibt die Viruspersistenz, die, solange sie fortbesteht, weiterhin Trigger für entzündliche Prozesse und oxidativen Stress liefert. </w:t>
      </w:r>
      <w:r w:rsidR="00B72AEA" w:rsidRPr="00B72AEA">
        <w:rPr>
          <w:rFonts w:ascii="Aptos" w:hAnsi="Aptos"/>
        </w:rPr>
        <w:t>Therapeutische Ansätze könnten darauf abzielen, die Persistenz viraler Trigger zu reduzieren, während unterstützende Ma</w:t>
      </w:r>
      <w:r w:rsidR="00B72AEA">
        <w:rPr>
          <w:rFonts w:ascii="Aptos" w:hAnsi="Aptos"/>
        </w:rPr>
        <w:t>ss</w:t>
      </w:r>
      <w:r w:rsidR="00B72AEA" w:rsidRPr="00B72AEA">
        <w:rPr>
          <w:rFonts w:ascii="Aptos" w:hAnsi="Aptos"/>
        </w:rPr>
        <w:t>nahmen oxidativen Stress und entzündliche Prozesse adressieren.</w:t>
      </w:r>
      <w:r w:rsidR="00B72AEA">
        <w:rPr>
          <w:rFonts w:ascii="Aptos" w:hAnsi="Aptos"/>
        </w:rPr>
        <w:t xml:space="preserve"> </w:t>
      </w:r>
      <w:r w:rsidRPr="00B774FD">
        <w:rPr>
          <w:rFonts w:ascii="Aptos" w:hAnsi="Aptos"/>
        </w:rPr>
        <w:t>Zukünftige Forschungsarbeiten sollten sich darauf konzentrieren, gezielte Strategien zu entwickeln, um diese Prozesse zu durchbrechen und den Teufelskreis aus Entzündung, oxidativem Stress und Immunaktivierung zu</w:t>
      </w:r>
      <w:r w:rsidR="002A2A14">
        <w:rPr>
          <w:rFonts w:ascii="Aptos" w:hAnsi="Aptos"/>
        </w:rPr>
        <w:t xml:space="preserve"> </w:t>
      </w:r>
      <w:r w:rsidR="002A2A14" w:rsidRPr="002A2A14">
        <w:rPr>
          <w:rFonts w:ascii="Aptos" w:hAnsi="Aptos"/>
        </w:rPr>
        <w:t xml:space="preserve">durchbrechen. Wichtig ist jedoch, dass dieser Text keine konkreten Therapieempfehlungen darstellt. </w:t>
      </w:r>
      <w:r w:rsidR="005562F2" w:rsidRPr="005562F2">
        <w:rPr>
          <w:rFonts w:ascii="Aptos" w:hAnsi="Aptos"/>
        </w:rPr>
        <w:t>Die diskutierten Ansätze dienen der Hypothesenbildung und sollen als Grundlage für weiterführende wissenschaftliche Untersuchungen betrachtet werden.</w:t>
      </w:r>
    </w:p>
    <w:p w14:paraId="49D4268D" w14:textId="77777777" w:rsidR="002A2A14" w:rsidRPr="002A2A14" w:rsidRDefault="002A2A14" w:rsidP="002A2A14">
      <w:pPr>
        <w:pStyle w:val="StandardWeb"/>
        <w:rPr>
          <w:rFonts w:ascii="Aptos" w:hAnsi="Aptos"/>
        </w:rPr>
      </w:pPr>
      <w:r w:rsidRPr="002A2A14">
        <w:rPr>
          <w:rStyle w:val="Fett"/>
          <w:rFonts w:ascii="Aptos" w:eastAsiaTheme="majorEastAsia" w:hAnsi="Aptos"/>
        </w:rPr>
        <w:t>Schlusswort</w:t>
      </w:r>
    </w:p>
    <w:p w14:paraId="6AD7DC9E" w14:textId="77777777" w:rsidR="002A2A14" w:rsidRPr="002A2A14" w:rsidRDefault="002A2A14" w:rsidP="002A2A14">
      <w:pPr>
        <w:pStyle w:val="StandardWeb"/>
        <w:rPr>
          <w:rFonts w:ascii="Aptos" w:hAnsi="Aptos"/>
        </w:rPr>
      </w:pPr>
      <w:r w:rsidRPr="002A2A14">
        <w:rPr>
          <w:rFonts w:ascii="Aptos" w:hAnsi="Aptos"/>
        </w:rPr>
        <w:t>Dieser Text wurde erstellt, um den Zusammenhang zwischen oxidativem Stress, immunologischen und metabolischen Dysregulationen bei Long-COVID, Post-</w:t>
      </w:r>
      <w:proofErr w:type="spellStart"/>
      <w:r w:rsidRPr="002A2A14">
        <w:rPr>
          <w:rFonts w:ascii="Aptos" w:hAnsi="Aptos"/>
        </w:rPr>
        <w:t>Vac</w:t>
      </w:r>
      <w:proofErr w:type="spellEnd"/>
      <w:r w:rsidRPr="002A2A14">
        <w:rPr>
          <w:rFonts w:ascii="Aptos" w:hAnsi="Aptos"/>
        </w:rPr>
        <w:t xml:space="preserve"> und verwandten Syndromen besser zu erklären. Die Inhalte basieren auf einer Kombination aus KI-generierten Inputs, meinen eigenen Erkenntnissen sowie einem Austausch mit Fachliteratur.</w:t>
      </w:r>
    </w:p>
    <w:p w14:paraId="76377ABA" w14:textId="77777777" w:rsidR="002A2A14" w:rsidRPr="002A2A14" w:rsidRDefault="002A2A14" w:rsidP="002A2A14">
      <w:pPr>
        <w:pStyle w:val="StandardWeb"/>
        <w:rPr>
          <w:rFonts w:ascii="Aptos" w:hAnsi="Aptos"/>
        </w:rPr>
      </w:pPr>
      <w:r w:rsidRPr="002A2A14">
        <w:rPr>
          <w:rFonts w:ascii="Aptos" w:hAnsi="Aptos"/>
        </w:rPr>
        <w:t>Ich bin keine Fachperson, sondern jemand, der versucht, mögliche Ansätze und Hypothesen weiterzugeben, um diese für die Forschung und potenzielle Diagnostik oder Therapie zu evaluieren. Ziel ist es, einen Beitrag zu leisten, um diese komplexen Krankheitsbilder besser zu verstehen und den Betroffenen eine fundierte Basis für den Austausch mit Fachpersonen zu bieten.</w:t>
      </w:r>
    </w:p>
    <w:p w14:paraId="748DF0BD" w14:textId="165C48F2" w:rsidR="00B774FD" w:rsidRPr="002A2A14" w:rsidRDefault="002A2A14" w:rsidP="002A2A14">
      <w:pPr>
        <w:pStyle w:val="StandardWeb"/>
        <w:rPr>
          <w:rFonts w:ascii="Aptos" w:hAnsi="Aptos"/>
        </w:rPr>
      </w:pPr>
      <w:r w:rsidRPr="002A2A14">
        <w:rPr>
          <w:rFonts w:ascii="Aptos" w:hAnsi="Aptos"/>
        </w:rPr>
        <w:t>Falls Fragen oder Anmerkungen entstehen, stehe ich gerne für Diskussionen oder Rückmeldungen zur Verfügung.</w:t>
      </w:r>
    </w:p>
    <w:p w14:paraId="7BA812AB" w14:textId="77777777" w:rsidR="00641971" w:rsidRPr="008E0216" w:rsidRDefault="00641971">
      <w:pPr>
        <w:rPr>
          <w:rFonts w:ascii="Aptos" w:hAnsi="Aptos"/>
        </w:rPr>
      </w:pPr>
    </w:p>
    <w:sectPr w:rsidR="00641971" w:rsidRPr="008E02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D2038"/>
    <w:multiLevelType w:val="multilevel"/>
    <w:tmpl w:val="9AFA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1553EA"/>
    <w:multiLevelType w:val="multilevel"/>
    <w:tmpl w:val="0E5E6E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8E0E9B"/>
    <w:multiLevelType w:val="multilevel"/>
    <w:tmpl w:val="E4CE50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CE3CB2"/>
    <w:multiLevelType w:val="multilevel"/>
    <w:tmpl w:val="8DC4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DC72F7"/>
    <w:multiLevelType w:val="multilevel"/>
    <w:tmpl w:val="9858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2D0A7E"/>
    <w:multiLevelType w:val="multilevel"/>
    <w:tmpl w:val="7FDC8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6B2877"/>
    <w:multiLevelType w:val="multilevel"/>
    <w:tmpl w:val="124C7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014EA1"/>
    <w:multiLevelType w:val="multilevel"/>
    <w:tmpl w:val="7010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28503">
    <w:abstractNumId w:val="7"/>
  </w:num>
  <w:num w:numId="2" w16cid:durableId="534657886">
    <w:abstractNumId w:val="5"/>
  </w:num>
  <w:num w:numId="3" w16cid:durableId="97530626">
    <w:abstractNumId w:val="2"/>
  </w:num>
  <w:num w:numId="4" w16cid:durableId="1570506101">
    <w:abstractNumId w:val="3"/>
  </w:num>
  <w:num w:numId="5" w16cid:durableId="2066485945">
    <w:abstractNumId w:val="6"/>
  </w:num>
  <w:num w:numId="6" w16cid:durableId="225722379">
    <w:abstractNumId w:val="0"/>
  </w:num>
  <w:num w:numId="7" w16cid:durableId="1252658818">
    <w:abstractNumId w:val="1"/>
  </w:num>
  <w:num w:numId="8" w16cid:durableId="446195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04F96"/>
    <w:rsid w:val="00175583"/>
    <w:rsid w:val="002A2A14"/>
    <w:rsid w:val="004C37FB"/>
    <w:rsid w:val="005562F2"/>
    <w:rsid w:val="005E23FC"/>
    <w:rsid w:val="00641971"/>
    <w:rsid w:val="007D69EB"/>
    <w:rsid w:val="00844E2F"/>
    <w:rsid w:val="008660B4"/>
    <w:rsid w:val="008E0216"/>
    <w:rsid w:val="00A326CE"/>
    <w:rsid w:val="00AC5861"/>
    <w:rsid w:val="00B72AEA"/>
    <w:rsid w:val="00B774FD"/>
    <w:rsid w:val="00C23251"/>
    <w:rsid w:val="00CE7AC0"/>
    <w:rsid w:val="00E04F96"/>
    <w:rsid w:val="00F96BF7"/>
    <w:rsid w:val="00FB612E"/>
    <w:rsid w:val="00FE48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F5986"/>
  <w15:chartTrackingRefBased/>
  <w15:docId w15:val="{A0949443-E47B-4759-A53E-647AE3AAA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04F96"/>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E04F96"/>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E04F96"/>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E04F96"/>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E04F96"/>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E04F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04F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04F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04F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4F96"/>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E04F96"/>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E04F96"/>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E04F96"/>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E04F96"/>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E04F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04F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04F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04F96"/>
    <w:rPr>
      <w:rFonts w:eastAsiaTheme="majorEastAsia" w:cstheme="majorBidi"/>
      <w:color w:val="272727" w:themeColor="text1" w:themeTint="D8"/>
    </w:rPr>
  </w:style>
  <w:style w:type="paragraph" w:styleId="Titel">
    <w:name w:val="Title"/>
    <w:basedOn w:val="Standard"/>
    <w:next w:val="Standard"/>
    <w:link w:val="TitelZchn"/>
    <w:uiPriority w:val="10"/>
    <w:qFormat/>
    <w:rsid w:val="00E04F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04F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04F9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04F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04F9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04F96"/>
    <w:rPr>
      <w:i/>
      <w:iCs/>
      <w:color w:val="404040" w:themeColor="text1" w:themeTint="BF"/>
    </w:rPr>
  </w:style>
  <w:style w:type="paragraph" w:styleId="Listenabsatz">
    <w:name w:val="List Paragraph"/>
    <w:basedOn w:val="Standard"/>
    <w:uiPriority w:val="34"/>
    <w:qFormat/>
    <w:rsid w:val="00E04F96"/>
    <w:pPr>
      <w:ind w:left="720"/>
      <w:contextualSpacing/>
    </w:pPr>
  </w:style>
  <w:style w:type="character" w:styleId="IntensiveHervorhebung">
    <w:name w:val="Intense Emphasis"/>
    <w:basedOn w:val="Absatz-Standardschriftart"/>
    <w:uiPriority w:val="21"/>
    <w:qFormat/>
    <w:rsid w:val="00E04F96"/>
    <w:rPr>
      <w:i/>
      <w:iCs/>
      <w:color w:val="365F91" w:themeColor="accent1" w:themeShade="BF"/>
    </w:rPr>
  </w:style>
  <w:style w:type="paragraph" w:styleId="IntensivesZitat">
    <w:name w:val="Intense Quote"/>
    <w:basedOn w:val="Standard"/>
    <w:next w:val="Standard"/>
    <w:link w:val="IntensivesZitatZchn"/>
    <w:uiPriority w:val="30"/>
    <w:qFormat/>
    <w:rsid w:val="00E04F9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E04F96"/>
    <w:rPr>
      <w:i/>
      <w:iCs/>
      <w:color w:val="365F91" w:themeColor="accent1" w:themeShade="BF"/>
    </w:rPr>
  </w:style>
  <w:style w:type="character" w:styleId="IntensiverVerweis">
    <w:name w:val="Intense Reference"/>
    <w:basedOn w:val="Absatz-Standardschriftart"/>
    <w:uiPriority w:val="32"/>
    <w:qFormat/>
    <w:rsid w:val="00E04F96"/>
    <w:rPr>
      <w:b/>
      <w:bCs/>
      <w:smallCaps/>
      <w:color w:val="365F91" w:themeColor="accent1" w:themeShade="BF"/>
      <w:spacing w:val="5"/>
    </w:rPr>
  </w:style>
  <w:style w:type="character" w:styleId="Fett">
    <w:name w:val="Strong"/>
    <w:basedOn w:val="Absatz-Standardschriftart"/>
    <w:uiPriority w:val="22"/>
    <w:qFormat/>
    <w:rsid w:val="00B774FD"/>
    <w:rPr>
      <w:b/>
      <w:bCs/>
    </w:rPr>
  </w:style>
  <w:style w:type="paragraph" w:styleId="StandardWeb">
    <w:name w:val="Normal (Web)"/>
    <w:basedOn w:val="Standard"/>
    <w:uiPriority w:val="99"/>
    <w:unhideWhenUsed/>
    <w:rsid w:val="00B774FD"/>
    <w:pPr>
      <w:spacing w:before="100" w:beforeAutospacing="1" w:after="100" w:afterAutospacing="1" w:line="240" w:lineRule="auto"/>
    </w:pPr>
    <w:rPr>
      <w:rFonts w:ascii="Times New Roman" w:eastAsia="Times New Roman" w:hAnsi="Times New Roman" w:cs="Times New Roman"/>
      <w:kern w:val="0"/>
      <w:sz w:val="24"/>
      <w:szCs w:val="24"/>
      <w:lang w:eastAsia="de-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1347">
      <w:bodyDiv w:val="1"/>
      <w:marLeft w:val="0"/>
      <w:marRight w:val="0"/>
      <w:marTop w:val="0"/>
      <w:marBottom w:val="0"/>
      <w:divBdr>
        <w:top w:val="none" w:sz="0" w:space="0" w:color="auto"/>
        <w:left w:val="none" w:sz="0" w:space="0" w:color="auto"/>
        <w:bottom w:val="none" w:sz="0" w:space="0" w:color="auto"/>
        <w:right w:val="none" w:sz="0" w:space="0" w:color="auto"/>
      </w:divBdr>
    </w:div>
    <w:div w:id="338821858">
      <w:bodyDiv w:val="1"/>
      <w:marLeft w:val="0"/>
      <w:marRight w:val="0"/>
      <w:marTop w:val="0"/>
      <w:marBottom w:val="0"/>
      <w:divBdr>
        <w:top w:val="none" w:sz="0" w:space="0" w:color="auto"/>
        <w:left w:val="none" w:sz="0" w:space="0" w:color="auto"/>
        <w:bottom w:val="none" w:sz="0" w:space="0" w:color="auto"/>
        <w:right w:val="none" w:sz="0" w:space="0" w:color="auto"/>
      </w:divBdr>
      <w:divsChild>
        <w:div w:id="1378310686">
          <w:marLeft w:val="0"/>
          <w:marRight w:val="0"/>
          <w:marTop w:val="0"/>
          <w:marBottom w:val="0"/>
          <w:divBdr>
            <w:top w:val="none" w:sz="0" w:space="0" w:color="auto"/>
            <w:left w:val="none" w:sz="0" w:space="0" w:color="auto"/>
            <w:bottom w:val="none" w:sz="0" w:space="0" w:color="auto"/>
            <w:right w:val="none" w:sz="0" w:space="0" w:color="auto"/>
          </w:divBdr>
        </w:div>
        <w:div w:id="21825044">
          <w:marLeft w:val="0"/>
          <w:marRight w:val="0"/>
          <w:marTop w:val="0"/>
          <w:marBottom w:val="0"/>
          <w:divBdr>
            <w:top w:val="none" w:sz="0" w:space="0" w:color="auto"/>
            <w:left w:val="none" w:sz="0" w:space="0" w:color="auto"/>
            <w:bottom w:val="none" w:sz="0" w:space="0" w:color="auto"/>
            <w:right w:val="none" w:sz="0" w:space="0" w:color="auto"/>
          </w:divBdr>
        </w:div>
        <w:div w:id="908534611">
          <w:marLeft w:val="0"/>
          <w:marRight w:val="0"/>
          <w:marTop w:val="0"/>
          <w:marBottom w:val="0"/>
          <w:divBdr>
            <w:top w:val="none" w:sz="0" w:space="0" w:color="auto"/>
            <w:left w:val="none" w:sz="0" w:space="0" w:color="auto"/>
            <w:bottom w:val="none" w:sz="0" w:space="0" w:color="auto"/>
            <w:right w:val="none" w:sz="0" w:space="0" w:color="auto"/>
          </w:divBdr>
        </w:div>
        <w:div w:id="1155608017">
          <w:marLeft w:val="0"/>
          <w:marRight w:val="0"/>
          <w:marTop w:val="0"/>
          <w:marBottom w:val="0"/>
          <w:divBdr>
            <w:top w:val="none" w:sz="0" w:space="0" w:color="auto"/>
            <w:left w:val="none" w:sz="0" w:space="0" w:color="auto"/>
            <w:bottom w:val="none" w:sz="0" w:space="0" w:color="auto"/>
            <w:right w:val="none" w:sz="0" w:space="0" w:color="auto"/>
          </w:divBdr>
        </w:div>
      </w:divsChild>
    </w:div>
    <w:div w:id="842088275">
      <w:bodyDiv w:val="1"/>
      <w:marLeft w:val="0"/>
      <w:marRight w:val="0"/>
      <w:marTop w:val="0"/>
      <w:marBottom w:val="0"/>
      <w:divBdr>
        <w:top w:val="none" w:sz="0" w:space="0" w:color="auto"/>
        <w:left w:val="none" w:sz="0" w:space="0" w:color="auto"/>
        <w:bottom w:val="none" w:sz="0" w:space="0" w:color="auto"/>
        <w:right w:val="none" w:sz="0" w:space="0" w:color="auto"/>
      </w:divBdr>
    </w:div>
    <w:div w:id="1308363176">
      <w:bodyDiv w:val="1"/>
      <w:marLeft w:val="0"/>
      <w:marRight w:val="0"/>
      <w:marTop w:val="0"/>
      <w:marBottom w:val="0"/>
      <w:divBdr>
        <w:top w:val="none" w:sz="0" w:space="0" w:color="auto"/>
        <w:left w:val="none" w:sz="0" w:space="0" w:color="auto"/>
        <w:bottom w:val="none" w:sz="0" w:space="0" w:color="auto"/>
        <w:right w:val="none" w:sz="0" w:space="0" w:color="auto"/>
      </w:divBdr>
    </w:div>
    <w:div w:id="1559628133">
      <w:bodyDiv w:val="1"/>
      <w:marLeft w:val="0"/>
      <w:marRight w:val="0"/>
      <w:marTop w:val="0"/>
      <w:marBottom w:val="0"/>
      <w:divBdr>
        <w:top w:val="none" w:sz="0" w:space="0" w:color="auto"/>
        <w:left w:val="none" w:sz="0" w:space="0" w:color="auto"/>
        <w:bottom w:val="none" w:sz="0" w:space="0" w:color="auto"/>
        <w:right w:val="none" w:sz="0" w:space="0" w:color="auto"/>
      </w:divBdr>
    </w:div>
    <w:div w:id="1640761727">
      <w:bodyDiv w:val="1"/>
      <w:marLeft w:val="0"/>
      <w:marRight w:val="0"/>
      <w:marTop w:val="0"/>
      <w:marBottom w:val="0"/>
      <w:divBdr>
        <w:top w:val="none" w:sz="0" w:space="0" w:color="auto"/>
        <w:left w:val="none" w:sz="0" w:space="0" w:color="auto"/>
        <w:bottom w:val="none" w:sz="0" w:space="0" w:color="auto"/>
        <w:right w:val="none" w:sz="0" w:space="0" w:color="auto"/>
      </w:divBdr>
      <w:divsChild>
        <w:div w:id="1833138590">
          <w:marLeft w:val="0"/>
          <w:marRight w:val="0"/>
          <w:marTop w:val="0"/>
          <w:marBottom w:val="0"/>
          <w:divBdr>
            <w:top w:val="none" w:sz="0" w:space="0" w:color="auto"/>
            <w:left w:val="none" w:sz="0" w:space="0" w:color="auto"/>
            <w:bottom w:val="none" w:sz="0" w:space="0" w:color="auto"/>
            <w:right w:val="none" w:sz="0" w:space="0" w:color="auto"/>
          </w:divBdr>
        </w:div>
        <w:div w:id="1801655860">
          <w:marLeft w:val="0"/>
          <w:marRight w:val="0"/>
          <w:marTop w:val="0"/>
          <w:marBottom w:val="0"/>
          <w:divBdr>
            <w:top w:val="none" w:sz="0" w:space="0" w:color="auto"/>
            <w:left w:val="none" w:sz="0" w:space="0" w:color="auto"/>
            <w:bottom w:val="none" w:sz="0" w:space="0" w:color="auto"/>
            <w:right w:val="none" w:sz="0" w:space="0" w:color="auto"/>
          </w:divBdr>
        </w:div>
        <w:div w:id="1459955257">
          <w:marLeft w:val="0"/>
          <w:marRight w:val="0"/>
          <w:marTop w:val="0"/>
          <w:marBottom w:val="0"/>
          <w:divBdr>
            <w:top w:val="none" w:sz="0" w:space="0" w:color="auto"/>
            <w:left w:val="none" w:sz="0" w:space="0" w:color="auto"/>
            <w:bottom w:val="none" w:sz="0" w:space="0" w:color="auto"/>
            <w:right w:val="none" w:sz="0" w:space="0" w:color="auto"/>
          </w:divBdr>
        </w:div>
        <w:div w:id="255288864">
          <w:marLeft w:val="0"/>
          <w:marRight w:val="0"/>
          <w:marTop w:val="0"/>
          <w:marBottom w:val="0"/>
          <w:divBdr>
            <w:top w:val="none" w:sz="0" w:space="0" w:color="auto"/>
            <w:left w:val="none" w:sz="0" w:space="0" w:color="auto"/>
            <w:bottom w:val="none" w:sz="0" w:space="0" w:color="auto"/>
            <w:right w:val="none" w:sz="0" w:space="0" w:color="auto"/>
          </w:divBdr>
        </w:div>
      </w:divsChild>
    </w:div>
    <w:div w:id="1662392370">
      <w:bodyDiv w:val="1"/>
      <w:marLeft w:val="0"/>
      <w:marRight w:val="0"/>
      <w:marTop w:val="0"/>
      <w:marBottom w:val="0"/>
      <w:divBdr>
        <w:top w:val="none" w:sz="0" w:space="0" w:color="auto"/>
        <w:left w:val="none" w:sz="0" w:space="0" w:color="auto"/>
        <w:bottom w:val="none" w:sz="0" w:space="0" w:color="auto"/>
        <w:right w:val="none" w:sz="0" w:space="0" w:color="auto"/>
      </w:divBdr>
    </w:div>
    <w:div w:id="1882134710">
      <w:bodyDiv w:val="1"/>
      <w:marLeft w:val="0"/>
      <w:marRight w:val="0"/>
      <w:marTop w:val="0"/>
      <w:marBottom w:val="0"/>
      <w:divBdr>
        <w:top w:val="none" w:sz="0" w:space="0" w:color="auto"/>
        <w:left w:val="none" w:sz="0" w:space="0" w:color="auto"/>
        <w:bottom w:val="none" w:sz="0" w:space="0" w:color="auto"/>
        <w:right w:val="none" w:sz="0" w:space="0" w:color="auto"/>
      </w:divBdr>
    </w:div>
    <w:div w:id="2101872829">
      <w:bodyDiv w:val="1"/>
      <w:marLeft w:val="0"/>
      <w:marRight w:val="0"/>
      <w:marTop w:val="0"/>
      <w:marBottom w:val="0"/>
      <w:divBdr>
        <w:top w:val="none" w:sz="0" w:space="0" w:color="auto"/>
        <w:left w:val="none" w:sz="0" w:space="0" w:color="auto"/>
        <w:bottom w:val="none" w:sz="0" w:space="0" w:color="auto"/>
        <w:right w:val="none" w:sz="0" w:space="0" w:color="auto"/>
      </w:divBdr>
      <w:divsChild>
        <w:div w:id="2006006947">
          <w:marLeft w:val="0"/>
          <w:marRight w:val="0"/>
          <w:marTop w:val="0"/>
          <w:marBottom w:val="0"/>
          <w:divBdr>
            <w:top w:val="none" w:sz="0" w:space="0" w:color="auto"/>
            <w:left w:val="none" w:sz="0" w:space="0" w:color="auto"/>
            <w:bottom w:val="none" w:sz="0" w:space="0" w:color="auto"/>
            <w:right w:val="none" w:sz="0" w:space="0" w:color="auto"/>
          </w:divBdr>
        </w:div>
        <w:div w:id="1272275525">
          <w:marLeft w:val="0"/>
          <w:marRight w:val="0"/>
          <w:marTop w:val="0"/>
          <w:marBottom w:val="0"/>
          <w:divBdr>
            <w:top w:val="none" w:sz="0" w:space="0" w:color="auto"/>
            <w:left w:val="none" w:sz="0" w:space="0" w:color="auto"/>
            <w:bottom w:val="none" w:sz="0" w:space="0" w:color="auto"/>
            <w:right w:val="none" w:sz="0" w:space="0" w:color="auto"/>
          </w:divBdr>
        </w:div>
        <w:div w:id="194848252">
          <w:marLeft w:val="0"/>
          <w:marRight w:val="0"/>
          <w:marTop w:val="0"/>
          <w:marBottom w:val="0"/>
          <w:divBdr>
            <w:top w:val="none" w:sz="0" w:space="0" w:color="auto"/>
            <w:left w:val="none" w:sz="0" w:space="0" w:color="auto"/>
            <w:bottom w:val="none" w:sz="0" w:space="0" w:color="auto"/>
            <w:right w:val="none" w:sz="0" w:space="0" w:color="auto"/>
          </w:divBdr>
        </w:div>
        <w:div w:id="380792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1524</Words>
  <Characters>9608</Characters>
  <Application>Microsoft Office Word</Application>
  <DocSecurity>0</DocSecurity>
  <Lines>80</Lines>
  <Paragraphs>22</Paragraphs>
  <ScaleCrop>false</ScaleCrop>
  <Company>Hewlett-Packard Company</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Biland</dc:creator>
  <cp:keywords/>
  <dc:description/>
  <cp:lastModifiedBy>Luc Biland</cp:lastModifiedBy>
  <cp:revision>18</cp:revision>
  <dcterms:created xsi:type="dcterms:W3CDTF">2024-12-23T13:41:00Z</dcterms:created>
  <dcterms:modified xsi:type="dcterms:W3CDTF">2024-12-23T15:07:00Z</dcterms:modified>
</cp:coreProperties>
</file>