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275E8" w14:textId="2248A447" w:rsidR="009E5F7F" w:rsidRPr="00AD0694" w:rsidRDefault="00AD0694">
      <w:pPr>
        <w:rPr>
          <w:b/>
          <w:bCs/>
          <w:sz w:val="24"/>
          <w:szCs w:val="24"/>
        </w:rPr>
      </w:pPr>
      <w:proofErr w:type="spellStart"/>
      <w:r w:rsidRPr="00AD0694">
        <w:rPr>
          <w:b/>
          <w:bCs/>
          <w:sz w:val="24"/>
          <w:szCs w:val="24"/>
        </w:rPr>
        <w:t>Cimetidin</w:t>
      </w:r>
      <w:proofErr w:type="spellEnd"/>
      <w:r w:rsidRPr="00AD0694">
        <w:rPr>
          <w:b/>
          <w:bCs/>
          <w:sz w:val="24"/>
          <w:szCs w:val="24"/>
        </w:rPr>
        <w:t xml:space="preserve"> und EBV</w:t>
      </w:r>
    </w:p>
    <w:p w14:paraId="6D877F46" w14:textId="3333751D" w:rsidR="00AD0694" w:rsidRPr="00AD0694" w:rsidRDefault="00AD0694" w:rsidP="00AD0694">
      <w:pPr>
        <w:rPr>
          <w:sz w:val="24"/>
          <w:szCs w:val="24"/>
        </w:rPr>
      </w:pPr>
      <w:r w:rsidRPr="00AD0694">
        <w:rPr>
          <w:sz w:val="24"/>
          <w:szCs w:val="24"/>
        </w:rPr>
        <w:t xml:space="preserve">Jeffrey A. Goldstein, ehem. Hausarzt und ME/CFS-Behandler aus den USA, schrieb 1983 [1] und 1986 [2, 3] in Leserbriefen an zwei Journals über seine Erfolge mit </w:t>
      </w:r>
      <w:proofErr w:type="spellStart"/>
      <w:r w:rsidRPr="00AD0694">
        <w:rPr>
          <w:sz w:val="24"/>
          <w:szCs w:val="24"/>
        </w:rPr>
        <w:t>Cimetidin</w:t>
      </w:r>
      <w:proofErr w:type="spellEnd"/>
      <w:r w:rsidRPr="00AD0694">
        <w:rPr>
          <w:sz w:val="24"/>
          <w:szCs w:val="24"/>
        </w:rPr>
        <w:t xml:space="preserve"> bei chronischen EBV-Infektionen. Er berichtet, dass 29 von 32 Patient*innen nach zweitägiger Behandlung dauerhaft symptomfrei sind. Er vermutet, dass </w:t>
      </w:r>
      <w:proofErr w:type="spellStart"/>
      <w:r w:rsidRPr="00AD0694">
        <w:rPr>
          <w:sz w:val="24"/>
          <w:szCs w:val="24"/>
        </w:rPr>
        <w:t>Cimetidin</w:t>
      </w:r>
      <w:proofErr w:type="spellEnd"/>
      <w:r w:rsidRPr="00AD0694">
        <w:rPr>
          <w:sz w:val="24"/>
          <w:szCs w:val="24"/>
        </w:rPr>
        <w:t xml:space="preserve"> an den H2-Rezeptoren von regulatorischen T-Zellen (“</w:t>
      </w:r>
      <w:proofErr w:type="spellStart"/>
      <w:r w:rsidRPr="00AD0694">
        <w:rPr>
          <w:sz w:val="24"/>
          <w:szCs w:val="24"/>
        </w:rPr>
        <w:t>supressor</w:t>
      </w:r>
      <w:proofErr w:type="spellEnd"/>
      <w:r w:rsidRPr="00AD0694">
        <w:rPr>
          <w:sz w:val="24"/>
          <w:szCs w:val="24"/>
        </w:rPr>
        <w:t xml:space="preserve"> t </w:t>
      </w:r>
      <w:proofErr w:type="spellStart"/>
      <w:r w:rsidRPr="00AD0694">
        <w:rPr>
          <w:sz w:val="24"/>
          <w:szCs w:val="24"/>
        </w:rPr>
        <w:t>cells</w:t>
      </w:r>
      <w:proofErr w:type="spellEnd"/>
      <w:r w:rsidRPr="00AD0694">
        <w:rPr>
          <w:sz w:val="24"/>
          <w:szCs w:val="24"/>
        </w:rPr>
        <w:t>”) bindet und so deren Überaktivierung entgegenwirkt [3].</w:t>
      </w:r>
    </w:p>
    <w:p w14:paraId="5017B7E9" w14:textId="11A2C410" w:rsidR="00AD0694" w:rsidRPr="00AD0694" w:rsidRDefault="00AD0694" w:rsidP="00AD0694">
      <w:pPr>
        <w:rPr>
          <w:sz w:val="24"/>
          <w:szCs w:val="24"/>
        </w:rPr>
      </w:pPr>
      <w:r w:rsidRPr="00AD0694">
        <w:rPr>
          <w:sz w:val="24"/>
          <w:szCs w:val="24"/>
        </w:rPr>
        <w:t xml:space="preserve">Die Wirkung auf </w:t>
      </w:r>
      <w:proofErr w:type="spellStart"/>
      <w:r w:rsidRPr="00AD0694">
        <w:rPr>
          <w:sz w:val="24"/>
          <w:szCs w:val="24"/>
        </w:rPr>
        <w:t>Treg</w:t>
      </w:r>
      <w:proofErr w:type="spellEnd"/>
      <w:r w:rsidRPr="00AD0694">
        <w:rPr>
          <w:sz w:val="24"/>
          <w:szCs w:val="24"/>
        </w:rPr>
        <w:t xml:space="preserve">-Zellen konnte 1986 im Mausmodell bestätigt werden [4]. Es gibt zwei </w:t>
      </w:r>
      <w:proofErr w:type="spellStart"/>
      <w:r w:rsidRPr="00AD0694">
        <w:rPr>
          <w:sz w:val="24"/>
          <w:szCs w:val="24"/>
        </w:rPr>
        <w:t>placebokontrollierte</w:t>
      </w:r>
      <w:proofErr w:type="spellEnd"/>
      <w:r w:rsidRPr="00AD0694">
        <w:rPr>
          <w:sz w:val="24"/>
          <w:szCs w:val="24"/>
        </w:rPr>
        <w:t xml:space="preserve"> Studien, die bei der Behandlung der akuten (frischen) EBV-Infektion keinen positiven Effekt finden, allerdings ist der Pathomechanismus unterschiedlich zur chronischen Infektion [7, sehr lesenswert!]. Eine randomisiert-kontrollierte Studie bei chronischer EBV-Infektion hat bis heute nie stattgefunden.</w:t>
      </w:r>
    </w:p>
    <w:p w14:paraId="039583D5" w14:textId="2691530C" w:rsidR="00AD0694" w:rsidRPr="00AD0694" w:rsidRDefault="00AD0694" w:rsidP="00AD0694">
      <w:pPr>
        <w:rPr>
          <w:sz w:val="24"/>
          <w:szCs w:val="24"/>
        </w:rPr>
      </w:pPr>
      <w:r w:rsidRPr="00AD0694">
        <w:rPr>
          <w:sz w:val="24"/>
          <w:szCs w:val="24"/>
        </w:rPr>
        <w:t xml:space="preserve">Ich selbst erlebte kurz nach der </w:t>
      </w:r>
      <w:proofErr w:type="spellStart"/>
      <w:r w:rsidRPr="00AD0694">
        <w:rPr>
          <w:sz w:val="24"/>
          <w:szCs w:val="24"/>
        </w:rPr>
        <w:t>Cimetidin</w:t>
      </w:r>
      <w:proofErr w:type="spellEnd"/>
      <w:r w:rsidRPr="00AD0694">
        <w:rPr>
          <w:sz w:val="24"/>
          <w:szCs w:val="24"/>
        </w:rPr>
        <w:t xml:space="preserve">-Einnahme eine deutliche Verbesserung meiner Symptomatik (u.a. EBV-Reaktivierung, durch vermutl. COVID in Mai ‘21, leider nicht alles weg). EBV-DNA konnte nach 10 Tagen im Blut nicht mehr nachgewiesen werden. XY, ME-CFS-Betroffene seit 19 Jahren, erlebte eine deutliche Verbesserung ihrer Symptome (verbessertes Allgemeinbefinden, mehr Tagesenergie, deutlich weniger Schmerzen). </w:t>
      </w:r>
    </w:p>
    <w:p w14:paraId="19EF2333" w14:textId="77777777" w:rsidR="00AD0694" w:rsidRPr="00AD0694" w:rsidRDefault="00AD0694" w:rsidP="00AD0694">
      <w:pPr>
        <w:rPr>
          <w:sz w:val="24"/>
          <w:szCs w:val="24"/>
        </w:rPr>
      </w:pPr>
      <w:r w:rsidRPr="00AD0694">
        <w:rPr>
          <w:sz w:val="24"/>
          <w:szCs w:val="24"/>
        </w:rPr>
        <w:t xml:space="preserve">Bei zwei weiteren </w:t>
      </w:r>
      <w:proofErr w:type="spellStart"/>
      <w:r w:rsidRPr="00AD0694">
        <w:rPr>
          <w:sz w:val="24"/>
          <w:szCs w:val="24"/>
        </w:rPr>
        <w:t>LongCovid</w:t>
      </w:r>
      <w:proofErr w:type="spellEnd"/>
      <w:r w:rsidRPr="00AD0694">
        <w:rPr>
          <w:sz w:val="24"/>
          <w:szCs w:val="24"/>
        </w:rPr>
        <w:t>-Betroffenen verschwanden die Symptome vollständig.</w:t>
      </w:r>
    </w:p>
    <w:p w14:paraId="0050860D" w14:textId="302BA88F" w:rsidR="00AD0694" w:rsidRPr="00AD0694" w:rsidRDefault="00AD0694" w:rsidP="00AD0694">
      <w:pPr>
        <w:rPr>
          <w:sz w:val="24"/>
          <w:szCs w:val="24"/>
        </w:rPr>
      </w:pPr>
      <w:r w:rsidRPr="00AD0694">
        <w:rPr>
          <w:sz w:val="24"/>
          <w:szCs w:val="24"/>
        </w:rPr>
        <w:t xml:space="preserve">Ich bin so vorgegangen: Start mit 3x täglich 200mg </w:t>
      </w:r>
      <w:proofErr w:type="spellStart"/>
      <w:r w:rsidRPr="00AD0694">
        <w:rPr>
          <w:sz w:val="24"/>
          <w:szCs w:val="24"/>
        </w:rPr>
        <w:t>Cimetidin</w:t>
      </w:r>
      <w:proofErr w:type="spellEnd"/>
      <w:r w:rsidRPr="00AD0694">
        <w:rPr>
          <w:sz w:val="24"/>
          <w:szCs w:val="24"/>
        </w:rPr>
        <w:t>, Erhöhung bis die Symptome über 24 Stunden wegbleiben u. nicht mehr besser werden. Zur Nacht wird i.d.R. eine höhere Dosis nötig sein. Dann Einnahme für 10 Tage (Goldstein: 5), danach Absetzversuch. Die Therapie schlug bereits nach etwa einer Stunde an.</w:t>
      </w:r>
    </w:p>
    <w:p w14:paraId="49B8E89D" w14:textId="379BE272" w:rsidR="00AD0694" w:rsidRPr="00AD0694" w:rsidRDefault="00AD0694" w:rsidP="00AD0694">
      <w:pPr>
        <w:rPr>
          <w:sz w:val="24"/>
          <w:szCs w:val="24"/>
        </w:rPr>
      </w:pPr>
      <w:proofErr w:type="spellStart"/>
      <w:r w:rsidRPr="00AD0694">
        <w:rPr>
          <w:sz w:val="24"/>
          <w:szCs w:val="24"/>
        </w:rPr>
        <w:t>Cimetidin</w:t>
      </w:r>
      <w:proofErr w:type="spellEnd"/>
      <w:r w:rsidRPr="00AD0694">
        <w:rPr>
          <w:sz w:val="24"/>
          <w:szCs w:val="24"/>
        </w:rPr>
        <w:t xml:space="preserve"> ist ein rezeptpflichtiger Magensäurehemmer mit überschaubarem Nebenwirkungsspektrum [8]. Er ist günstig (TTK um 0,50 €) als Tablette oder zur Injektion verfügbar.</w:t>
      </w:r>
    </w:p>
    <w:p w14:paraId="59B13B57" w14:textId="724AF6F8" w:rsidR="00AD0694" w:rsidRPr="00AD0694" w:rsidRDefault="00AD0694" w:rsidP="00AD0694">
      <w:pPr>
        <w:rPr>
          <w:sz w:val="24"/>
          <w:szCs w:val="24"/>
        </w:rPr>
      </w:pPr>
      <w:r w:rsidRPr="00AD0694">
        <w:rPr>
          <w:sz w:val="24"/>
          <w:szCs w:val="24"/>
        </w:rPr>
        <w:t>Vorsicht ist geboten bei gleichzeitigem Asthma bronchiale, in der Schwangerschaft und mit parallel eingenommenen anderen Medikamenten (P450!). Eine kurzzeitige Anwendung sollte aber i.d.R. nie ein Problem sein. Bei Langzeiteinnahme muss d. schwach antiandrogene Effekt berücksichtigt werden.</w:t>
      </w:r>
    </w:p>
    <w:p w14:paraId="7F3E6686" w14:textId="77777777" w:rsidR="00AD0694" w:rsidRPr="00AD0694" w:rsidRDefault="00AD0694" w:rsidP="00AD0694">
      <w:pPr>
        <w:rPr>
          <w:sz w:val="24"/>
          <w:szCs w:val="24"/>
        </w:rPr>
      </w:pPr>
      <w:r w:rsidRPr="00AD0694">
        <w:rPr>
          <w:sz w:val="24"/>
          <w:szCs w:val="24"/>
        </w:rPr>
        <w:t xml:space="preserve">Es gibt einige weitere immunmodulierende Wirkungen [9, sehr lesenswert!], die für ME/CFS-Pat. interessant sein könnten. Auch über erfolgreiche Behandlung anderer Herpesvirus-Aktivierungen wird berichtet </w:t>
      </w:r>
    </w:p>
    <w:p w14:paraId="17F00E6E" w14:textId="77777777" w:rsidR="00AD0694" w:rsidRPr="00AD0694" w:rsidRDefault="00AD0694" w:rsidP="00AD0694">
      <w:pPr>
        <w:rPr>
          <w:sz w:val="24"/>
          <w:szCs w:val="24"/>
        </w:rPr>
      </w:pPr>
      <w:r w:rsidRPr="00AD0694">
        <w:rPr>
          <w:sz w:val="24"/>
          <w:szCs w:val="24"/>
        </w:rPr>
        <w:t xml:space="preserve">[10, auch lesenswert!]. Ich würde es (bei ME/CFS) jedenfalls auch dann ausprobieren, wenn EBV nicht die auslösende Infektion war! </w:t>
      </w:r>
    </w:p>
    <w:p w14:paraId="6F664D3A" w14:textId="40F173D7" w:rsidR="00AD0694" w:rsidRPr="00AD0694" w:rsidRDefault="00AD0694" w:rsidP="00AD0694">
      <w:pPr>
        <w:rPr>
          <w:sz w:val="24"/>
          <w:szCs w:val="24"/>
        </w:rPr>
      </w:pPr>
      <w:r w:rsidRPr="00AD0694">
        <w:rPr>
          <w:sz w:val="24"/>
          <w:szCs w:val="24"/>
        </w:rPr>
        <w:t xml:space="preserve">Ich hoffe, dass </w:t>
      </w:r>
      <w:proofErr w:type="gramStart"/>
      <w:r w:rsidRPr="00AD0694">
        <w:rPr>
          <w:sz w:val="24"/>
          <w:szCs w:val="24"/>
        </w:rPr>
        <w:t>das weiteren Patient</w:t>
      </w:r>
      <w:proofErr w:type="gramEnd"/>
      <w:r w:rsidRPr="00AD0694">
        <w:rPr>
          <w:sz w:val="24"/>
          <w:szCs w:val="24"/>
        </w:rPr>
        <w:t xml:space="preserve">*innen helfen kann und freue mich über Rückmeldungen! </w:t>
      </w:r>
    </w:p>
    <w:p w14:paraId="198FC698" w14:textId="14626D90" w:rsidR="00AD0694" w:rsidRDefault="00AD0694" w:rsidP="00AD0694">
      <w:pPr>
        <w:rPr>
          <w:sz w:val="24"/>
          <w:szCs w:val="24"/>
        </w:rPr>
      </w:pPr>
      <w:r w:rsidRPr="00AD0694">
        <w:rPr>
          <w:sz w:val="24"/>
          <w:szCs w:val="24"/>
        </w:rPr>
        <w:t xml:space="preserve">Rat und an @ReginaZauchner, das beste Versuchskaninchen der Welt! </w:t>
      </w:r>
    </w:p>
    <w:p w14:paraId="1F11E357" w14:textId="2F4304CA" w:rsidR="00AD0694" w:rsidRDefault="007C2F47" w:rsidP="00AD0694">
      <w:pPr>
        <w:rPr>
          <w:sz w:val="24"/>
          <w:szCs w:val="24"/>
        </w:rPr>
      </w:pPr>
      <w:hyperlink r:id="rId4" w:history="1">
        <w:r w:rsidR="00AD0694" w:rsidRPr="008459C1">
          <w:rPr>
            <w:rStyle w:val="Hyperlink"/>
            <w:sz w:val="24"/>
            <w:szCs w:val="24"/>
          </w:rPr>
          <w:t>https://www.postviral.org/people/regina-zauchner/</w:t>
        </w:r>
      </w:hyperlink>
    </w:p>
    <w:p w14:paraId="3BC26B9E" w14:textId="2F964720" w:rsidR="00AD0694" w:rsidRPr="00AD0694" w:rsidRDefault="00AD0694" w:rsidP="00AD0694">
      <w:pPr>
        <w:rPr>
          <w:sz w:val="24"/>
          <w:szCs w:val="24"/>
        </w:rPr>
      </w:pPr>
      <w:r w:rsidRPr="00AD0694">
        <w:rPr>
          <w:sz w:val="24"/>
          <w:szCs w:val="24"/>
        </w:rPr>
        <w:lastRenderedPageBreak/>
        <w:t xml:space="preserve">[1] </w:t>
      </w:r>
      <w:hyperlink r:id="rId5" w:history="1">
        <w:r w:rsidRPr="008459C1">
          <w:rPr>
            <w:rStyle w:val="Hyperlink"/>
            <w:sz w:val="24"/>
            <w:szCs w:val="24"/>
          </w:rPr>
          <w:t>https://www.acpjournals.org/doi/10.7326/0003-4819-99-3-410_2</w:t>
        </w:r>
      </w:hyperlink>
    </w:p>
    <w:p w14:paraId="2CA7614B" w14:textId="2C1F0B27" w:rsidR="00AD0694" w:rsidRDefault="00AD0694" w:rsidP="00AD0694">
      <w:pPr>
        <w:rPr>
          <w:sz w:val="24"/>
          <w:szCs w:val="24"/>
        </w:rPr>
      </w:pPr>
      <w:r w:rsidRPr="00AD0694">
        <w:rPr>
          <w:sz w:val="24"/>
          <w:szCs w:val="24"/>
        </w:rPr>
        <w:t xml:space="preserve">[2] </w:t>
      </w:r>
      <w:hyperlink r:id="rId6" w:history="1">
        <w:r w:rsidRPr="008459C1">
          <w:rPr>
            <w:rStyle w:val="Hyperlink"/>
            <w:sz w:val="24"/>
            <w:szCs w:val="24"/>
          </w:rPr>
          <w:t>https://pubmed.ncbi.nlm.nih.gov/3021713/</w:t>
        </w:r>
      </w:hyperlink>
    </w:p>
    <w:p w14:paraId="2C4C4C5E" w14:textId="3219BD5E" w:rsidR="00AD0694" w:rsidRDefault="00AD0694" w:rsidP="00AD0694">
      <w:pPr>
        <w:rPr>
          <w:sz w:val="24"/>
          <w:szCs w:val="24"/>
        </w:rPr>
      </w:pPr>
      <w:r w:rsidRPr="00AD0694">
        <w:rPr>
          <w:sz w:val="24"/>
          <w:szCs w:val="24"/>
        </w:rPr>
        <w:t xml:space="preserve">[3] </w:t>
      </w:r>
      <w:hyperlink r:id="rId7" w:history="1">
        <w:r w:rsidRPr="008459C1">
          <w:rPr>
            <w:rStyle w:val="Hyperlink"/>
            <w:sz w:val="24"/>
            <w:szCs w:val="24"/>
          </w:rPr>
          <w:t>https://www.acpjournals.org/doi/10.7326/0003-4819-105-1-139_2</w:t>
        </w:r>
      </w:hyperlink>
    </w:p>
    <w:p w14:paraId="061A8EFD" w14:textId="7974485E" w:rsidR="00AD0694" w:rsidRDefault="00AD0694" w:rsidP="00AD0694">
      <w:pPr>
        <w:rPr>
          <w:sz w:val="24"/>
          <w:szCs w:val="24"/>
        </w:rPr>
      </w:pPr>
      <w:r w:rsidRPr="00AD0694">
        <w:rPr>
          <w:sz w:val="24"/>
          <w:szCs w:val="24"/>
        </w:rPr>
        <w:t xml:space="preserve">[4] </w:t>
      </w:r>
      <w:hyperlink r:id="rId8" w:history="1">
        <w:r w:rsidRPr="008459C1">
          <w:rPr>
            <w:rStyle w:val="Hyperlink"/>
            <w:sz w:val="24"/>
            <w:szCs w:val="24"/>
          </w:rPr>
          <w:t>https://www.sciencedirect.com/science/article/abs/pii/009012298690245X?via%3Dihub</w:t>
        </w:r>
      </w:hyperlink>
    </w:p>
    <w:p w14:paraId="7E9D86FD" w14:textId="08632232" w:rsidR="00AD0694" w:rsidRDefault="00AD0694" w:rsidP="00AD0694">
      <w:pPr>
        <w:rPr>
          <w:sz w:val="24"/>
          <w:szCs w:val="24"/>
        </w:rPr>
      </w:pPr>
      <w:r w:rsidRPr="00AD0694">
        <w:rPr>
          <w:sz w:val="24"/>
          <w:szCs w:val="24"/>
        </w:rPr>
        <w:t xml:space="preserve">[5] </w:t>
      </w:r>
      <w:hyperlink r:id="rId9" w:history="1">
        <w:r w:rsidRPr="008459C1">
          <w:rPr>
            <w:rStyle w:val="Hyperlink"/>
            <w:sz w:val="24"/>
            <w:szCs w:val="24"/>
          </w:rPr>
          <w:t>https://www.tandfonline.com/doi/abs/10.1080/17843286.1993.11718310</w:t>
        </w:r>
      </w:hyperlink>
    </w:p>
    <w:p w14:paraId="52CE20CA" w14:textId="67A8DD90" w:rsidR="00AD0694" w:rsidRDefault="00AD0694" w:rsidP="00AD0694">
      <w:pPr>
        <w:rPr>
          <w:sz w:val="24"/>
          <w:szCs w:val="24"/>
        </w:rPr>
      </w:pPr>
      <w:r w:rsidRPr="00AD0694">
        <w:rPr>
          <w:sz w:val="24"/>
          <w:szCs w:val="24"/>
        </w:rPr>
        <w:t xml:space="preserve">[6] </w:t>
      </w:r>
      <w:hyperlink r:id="rId10" w:history="1">
        <w:r w:rsidRPr="008459C1">
          <w:rPr>
            <w:rStyle w:val="Hyperlink"/>
            <w:sz w:val="24"/>
            <w:szCs w:val="24"/>
          </w:rPr>
          <w:t>https://onlinelibrary.wiley.com/doi/abs/10.1046/j.1365-2273.1997.00873.x</w:t>
        </w:r>
      </w:hyperlink>
    </w:p>
    <w:p w14:paraId="738327A6" w14:textId="0F65F90D" w:rsidR="00AD0694" w:rsidRDefault="00AD0694" w:rsidP="00AD0694">
      <w:pPr>
        <w:rPr>
          <w:sz w:val="24"/>
          <w:szCs w:val="24"/>
        </w:rPr>
      </w:pPr>
      <w:r w:rsidRPr="00AD0694">
        <w:rPr>
          <w:sz w:val="24"/>
          <w:szCs w:val="24"/>
        </w:rPr>
        <w:t xml:space="preserve">[7] </w:t>
      </w:r>
      <w:hyperlink r:id="rId11" w:history="1">
        <w:r w:rsidRPr="008459C1">
          <w:rPr>
            <w:rStyle w:val="Hyperlink"/>
            <w:sz w:val="24"/>
            <w:szCs w:val="24"/>
          </w:rPr>
          <w:t>https://t.co/n6LKzmHbxU</w:t>
        </w:r>
      </w:hyperlink>
    </w:p>
    <w:p w14:paraId="09950A03" w14:textId="62E0CB57" w:rsidR="00AD0694" w:rsidRDefault="00AD0694" w:rsidP="00AD0694">
      <w:pPr>
        <w:rPr>
          <w:sz w:val="24"/>
          <w:szCs w:val="24"/>
        </w:rPr>
      </w:pPr>
      <w:r w:rsidRPr="00AD0694">
        <w:rPr>
          <w:sz w:val="24"/>
          <w:szCs w:val="24"/>
        </w:rPr>
        <w:t xml:space="preserve">[8] </w:t>
      </w:r>
      <w:hyperlink r:id="rId12" w:history="1">
        <w:r w:rsidRPr="008459C1">
          <w:rPr>
            <w:rStyle w:val="Hyperlink"/>
            <w:sz w:val="24"/>
            <w:szCs w:val="24"/>
          </w:rPr>
          <w:t>https://t.co/neEG7UzAYg</w:t>
        </w:r>
      </w:hyperlink>
    </w:p>
    <w:p w14:paraId="35ADCE90" w14:textId="0FCB80D6" w:rsidR="00AD0694" w:rsidRDefault="00AD0694" w:rsidP="00AD0694">
      <w:pPr>
        <w:rPr>
          <w:sz w:val="24"/>
          <w:szCs w:val="24"/>
        </w:rPr>
      </w:pPr>
      <w:r w:rsidRPr="00AD0694">
        <w:rPr>
          <w:sz w:val="24"/>
          <w:szCs w:val="24"/>
        </w:rPr>
        <w:t xml:space="preserve">[9] </w:t>
      </w:r>
      <w:hyperlink r:id="rId13" w:history="1">
        <w:r w:rsidRPr="008459C1">
          <w:rPr>
            <w:rStyle w:val="Hyperlink"/>
            <w:sz w:val="24"/>
            <w:szCs w:val="24"/>
          </w:rPr>
          <w:t>https://www.sciencedirect.com/science/article/pii/S1567576918313092?via%3Dihub</w:t>
        </w:r>
      </w:hyperlink>
    </w:p>
    <w:p w14:paraId="67DA2A00" w14:textId="0611AE52" w:rsidR="00AD0694" w:rsidRDefault="00AD0694" w:rsidP="00AD0694">
      <w:pPr>
        <w:rPr>
          <w:sz w:val="24"/>
          <w:szCs w:val="24"/>
        </w:rPr>
      </w:pPr>
      <w:r w:rsidRPr="00AD0694">
        <w:rPr>
          <w:sz w:val="24"/>
          <w:szCs w:val="24"/>
        </w:rPr>
        <w:t xml:space="preserve">[10] </w:t>
      </w:r>
      <w:hyperlink r:id="rId14" w:history="1">
        <w:r w:rsidRPr="008459C1">
          <w:rPr>
            <w:rStyle w:val="Hyperlink"/>
            <w:sz w:val="24"/>
            <w:szCs w:val="24"/>
          </w:rPr>
          <w:t>https://pubmed.ncbi.nlm.nih.gov/6250237/</w:t>
        </w:r>
      </w:hyperlink>
    </w:p>
    <w:p w14:paraId="378A2AFA" w14:textId="77777777" w:rsidR="00AD0694" w:rsidRPr="00AD0694" w:rsidRDefault="00AD0694" w:rsidP="00AD0694">
      <w:pPr>
        <w:rPr>
          <w:sz w:val="24"/>
          <w:szCs w:val="24"/>
        </w:rPr>
      </w:pPr>
      <w:r w:rsidRPr="00AD0694">
        <w:rPr>
          <w:sz w:val="24"/>
          <w:szCs w:val="24"/>
        </w:rPr>
        <w:t xml:space="preserve">Ergänzung 3: Nochmal ganz deutlich. </w:t>
      </w:r>
      <w:proofErr w:type="spellStart"/>
      <w:r w:rsidRPr="00AD0694">
        <w:rPr>
          <w:sz w:val="24"/>
          <w:szCs w:val="24"/>
        </w:rPr>
        <w:t>Famotidin</w:t>
      </w:r>
      <w:proofErr w:type="spellEnd"/>
      <w:r w:rsidRPr="00AD0694">
        <w:rPr>
          <w:sz w:val="24"/>
          <w:szCs w:val="24"/>
        </w:rPr>
        <w:t xml:space="preserve"> und Ranitidin sind NICHT dasselbe wie </w:t>
      </w:r>
      <w:proofErr w:type="spellStart"/>
      <w:r w:rsidRPr="00AD0694">
        <w:rPr>
          <w:sz w:val="24"/>
          <w:szCs w:val="24"/>
        </w:rPr>
        <w:t>Cimetidin</w:t>
      </w:r>
      <w:proofErr w:type="spellEnd"/>
      <w:r w:rsidRPr="00AD0694">
        <w:rPr>
          <w:sz w:val="24"/>
          <w:szCs w:val="24"/>
        </w:rPr>
        <w:t xml:space="preserve"> und es geht hier auch NICHT um die </w:t>
      </w:r>
      <w:proofErr w:type="spellStart"/>
      <w:r w:rsidRPr="00AD0694">
        <w:rPr>
          <w:sz w:val="24"/>
          <w:szCs w:val="24"/>
        </w:rPr>
        <w:t>antihistaminerge</w:t>
      </w:r>
      <w:proofErr w:type="spellEnd"/>
      <w:r w:rsidRPr="00AD0694">
        <w:rPr>
          <w:sz w:val="24"/>
          <w:szCs w:val="24"/>
        </w:rPr>
        <w:t xml:space="preserve"> Wirkung wie bei MCAS, sondern um Immunmodulation.</w:t>
      </w:r>
    </w:p>
    <w:p w14:paraId="0E4CC0F2" w14:textId="762A0DE8" w:rsidR="00A60DDE" w:rsidRPr="00912548" w:rsidRDefault="00AD0694" w:rsidP="00AD0694">
      <w:pPr>
        <w:rPr>
          <w:sz w:val="24"/>
          <w:szCs w:val="24"/>
        </w:rPr>
      </w:pPr>
      <w:r w:rsidRPr="00AD0694">
        <w:rPr>
          <w:sz w:val="24"/>
          <w:szCs w:val="24"/>
        </w:rPr>
        <w:t xml:space="preserve">Eine vergleichende Studie kommt zu dem Schluss, dass nur </w:t>
      </w:r>
      <w:proofErr w:type="spellStart"/>
      <w:r w:rsidRPr="00AD0694">
        <w:rPr>
          <w:sz w:val="24"/>
          <w:szCs w:val="24"/>
        </w:rPr>
        <w:t>Cimetidin</w:t>
      </w:r>
      <w:proofErr w:type="spellEnd"/>
      <w:r w:rsidRPr="00AD0694">
        <w:rPr>
          <w:sz w:val="24"/>
          <w:szCs w:val="24"/>
        </w:rPr>
        <w:t xml:space="preserve"> die immunmodulierenden Effekte besitzt.</w:t>
      </w:r>
    </w:p>
    <w:p w14:paraId="200CD113" w14:textId="2127C8BD" w:rsidR="00AD0694" w:rsidRPr="00AD0694" w:rsidRDefault="00AD0694" w:rsidP="00AD0694">
      <w:pPr>
        <w:rPr>
          <w:sz w:val="24"/>
          <w:szCs w:val="24"/>
          <w:lang w:val="en-US"/>
        </w:rPr>
      </w:pPr>
      <w:r w:rsidRPr="00AD0694">
        <w:rPr>
          <w:sz w:val="24"/>
          <w:szCs w:val="24"/>
          <w:lang w:val="en-US"/>
        </w:rPr>
        <w:t xml:space="preserve">Hahm et. al., Comparison of </w:t>
      </w:r>
      <w:proofErr w:type="spellStart"/>
      <w:r w:rsidRPr="00AD0694">
        <w:rPr>
          <w:sz w:val="24"/>
          <w:szCs w:val="24"/>
          <w:lang w:val="en-US"/>
        </w:rPr>
        <w:t>Immunomodulative</w:t>
      </w:r>
      <w:proofErr w:type="spellEnd"/>
      <w:r w:rsidRPr="00AD0694">
        <w:rPr>
          <w:sz w:val="24"/>
          <w:szCs w:val="24"/>
          <w:lang w:val="en-US"/>
        </w:rPr>
        <w:t xml:space="preserve"> Effects of the Histamine-2 Receptor Antagonists Cimetidine, Ranitidine, and Famotidine</w:t>
      </w:r>
    </w:p>
    <w:p w14:paraId="52927AC3" w14:textId="1D7907B5" w:rsidR="00AD0694" w:rsidRDefault="00A60DDE" w:rsidP="00AD0694">
      <w:pPr>
        <w:rPr>
          <w:sz w:val="24"/>
          <w:szCs w:val="24"/>
          <w:lang w:val="en-US"/>
        </w:rPr>
      </w:pPr>
      <w:hyperlink r:id="rId15" w:history="1">
        <w:r w:rsidRPr="001721DA">
          <w:rPr>
            <w:rStyle w:val="Hyperlink"/>
            <w:sz w:val="24"/>
            <w:szCs w:val="24"/>
            <w:lang w:val="en-US"/>
          </w:rPr>
          <w:t>https://www.sciencedirect.com/science/article/abs/pii/0192056194900779</w:t>
        </w:r>
      </w:hyperlink>
    </w:p>
    <w:p w14:paraId="4141A9B2" w14:textId="77777777" w:rsidR="00A60DDE" w:rsidRPr="007C2F47" w:rsidRDefault="00A60DDE" w:rsidP="00AD0694">
      <w:pPr>
        <w:rPr>
          <w:rFonts w:cstheme="minorHAnsi"/>
          <w:sz w:val="24"/>
          <w:szCs w:val="24"/>
          <w:lang w:val="en-US"/>
        </w:rPr>
      </w:pPr>
    </w:p>
    <w:p w14:paraId="61728624" w14:textId="711DE491" w:rsidR="00350C4A" w:rsidRPr="007C2F47" w:rsidRDefault="00350C4A" w:rsidP="00AD0694">
      <w:pPr>
        <w:rPr>
          <w:rFonts w:cstheme="minorHAnsi"/>
          <w:b/>
          <w:bCs/>
          <w:sz w:val="24"/>
          <w:szCs w:val="24"/>
        </w:rPr>
      </w:pPr>
      <w:r w:rsidRPr="007C2F47">
        <w:rPr>
          <w:rFonts w:cstheme="minorHAnsi"/>
          <w:b/>
          <w:bCs/>
          <w:sz w:val="24"/>
          <w:szCs w:val="24"/>
        </w:rPr>
        <w:t xml:space="preserve">EBV: </w:t>
      </w:r>
      <w:r w:rsidR="009D17ED" w:rsidRPr="007C2F47">
        <w:rPr>
          <w:rFonts w:cstheme="minorHAnsi"/>
          <w:b/>
          <w:bCs/>
          <w:sz w:val="24"/>
          <w:szCs w:val="24"/>
        </w:rPr>
        <w:t xml:space="preserve">Weitere Behandlungsansätze </w:t>
      </w:r>
      <w:r w:rsidR="007C5A41" w:rsidRPr="007C2F47">
        <w:rPr>
          <w:rFonts w:cstheme="minorHAnsi"/>
          <w:b/>
          <w:bCs/>
          <w:sz w:val="24"/>
          <w:szCs w:val="24"/>
        </w:rPr>
        <w:t>b</w:t>
      </w:r>
      <w:r w:rsidRPr="007C2F47">
        <w:rPr>
          <w:rFonts w:cstheme="minorHAnsi"/>
          <w:b/>
          <w:bCs/>
          <w:sz w:val="24"/>
          <w:szCs w:val="24"/>
        </w:rPr>
        <w:t>ei</w:t>
      </w:r>
      <w:r w:rsidR="009B394B" w:rsidRPr="007C2F47">
        <w:rPr>
          <w:rFonts w:cstheme="minorHAnsi"/>
          <w:b/>
          <w:bCs/>
          <w:sz w:val="24"/>
          <w:szCs w:val="24"/>
        </w:rPr>
        <w:t xml:space="preserve"> diagnostische</w:t>
      </w:r>
      <w:r w:rsidR="007C5A41" w:rsidRPr="007C2F47">
        <w:rPr>
          <w:rFonts w:cstheme="minorHAnsi"/>
          <w:b/>
          <w:bCs/>
          <w:sz w:val="24"/>
          <w:szCs w:val="24"/>
        </w:rPr>
        <w:t>m</w:t>
      </w:r>
      <w:r w:rsidR="009B394B" w:rsidRPr="007C2F47">
        <w:rPr>
          <w:rFonts w:cstheme="minorHAnsi"/>
          <w:b/>
          <w:bCs/>
          <w:sz w:val="24"/>
          <w:szCs w:val="24"/>
        </w:rPr>
        <w:t xml:space="preserve"> Nachweis einer</w:t>
      </w:r>
      <w:r w:rsidRPr="007C2F47">
        <w:rPr>
          <w:rFonts w:cstheme="minorHAnsi"/>
          <w:b/>
          <w:bCs/>
          <w:sz w:val="24"/>
          <w:szCs w:val="24"/>
        </w:rPr>
        <w:t xml:space="preserve"> Reaktivierung: </w:t>
      </w:r>
    </w:p>
    <w:p w14:paraId="5127BE34" w14:textId="190386CE" w:rsidR="009646EE" w:rsidRPr="007C2F47" w:rsidRDefault="009646EE" w:rsidP="00AD0694">
      <w:pPr>
        <w:rPr>
          <w:rFonts w:cstheme="minorHAnsi"/>
          <w:i/>
          <w:iCs/>
          <w:sz w:val="24"/>
          <w:szCs w:val="24"/>
        </w:rPr>
      </w:pPr>
      <w:r w:rsidRPr="007C2F47">
        <w:rPr>
          <w:rFonts w:cstheme="minorHAnsi"/>
          <w:i/>
          <w:iCs/>
          <w:sz w:val="24"/>
          <w:szCs w:val="24"/>
        </w:rPr>
        <w:t xml:space="preserve">Mikronährstoffe: </w:t>
      </w:r>
    </w:p>
    <w:p w14:paraId="2A8180C5" w14:textId="44F467DB" w:rsidR="009646EE" w:rsidRPr="007C2F47" w:rsidRDefault="009646EE" w:rsidP="00AD0694">
      <w:pPr>
        <w:rPr>
          <w:rFonts w:cstheme="minorHAnsi"/>
          <w:sz w:val="24"/>
          <w:szCs w:val="24"/>
        </w:rPr>
      </w:pPr>
      <w:r w:rsidRPr="007C2F47">
        <w:rPr>
          <w:rFonts w:cstheme="minorHAnsi"/>
          <w:sz w:val="24"/>
          <w:szCs w:val="24"/>
        </w:rPr>
        <w:t>Vitamin D, Vitamin C (hochdosiert ggf. Infusionen)</w:t>
      </w:r>
      <w:r w:rsidR="00093C58" w:rsidRPr="007C2F47">
        <w:rPr>
          <w:rFonts w:cstheme="minorHAnsi"/>
          <w:sz w:val="24"/>
          <w:szCs w:val="24"/>
        </w:rPr>
        <w:t xml:space="preserve">, </w:t>
      </w:r>
      <w:r w:rsidR="00D938F1" w:rsidRPr="007C2F47">
        <w:rPr>
          <w:rFonts w:cstheme="minorHAnsi"/>
          <w:sz w:val="24"/>
          <w:szCs w:val="24"/>
        </w:rPr>
        <w:t xml:space="preserve">B12 (Methylcobalamin präferiert), </w:t>
      </w:r>
      <w:r w:rsidR="00093C58" w:rsidRPr="007C2F47">
        <w:rPr>
          <w:rFonts w:cstheme="minorHAnsi"/>
          <w:sz w:val="24"/>
          <w:szCs w:val="24"/>
        </w:rPr>
        <w:t>Selen und Zink</w:t>
      </w:r>
    </w:p>
    <w:p w14:paraId="31009713" w14:textId="77777777" w:rsidR="007C5A41" w:rsidRPr="007C2F47" w:rsidRDefault="007C5A41" w:rsidP="00AD0694">
      <w:pPr>
        <w:rPr>
          <w:rFonts w:cstheme="minorHAnsi"/>
          <w:i/>
          <w:iCs/>
          <w:sz w:val="24"/>
          <w:szCs w:val="24"/>
        </w:rPr>
      </w:pPr>
      <w:r w:rsidRPr="007C2F47">
        <w:rPr>
          <w:rFonts w:cstheme="minorHAnsi"/>
          <w:i/>
          <w:iCs/>
          <w:sz w:val="24"/>
          <w:szCs w:val="24"/>
        </w:rPr>
        <w:t>Supplemente:</w:t>
      </w:r>
    </w:p>
    <w:p w14:paraId="23DF8C7F" w14:textId="3BA06B60" w:rsidR="00BC6BFC" w:rsidRPr="007C2F47" w:rsidRDefault="00922EAA" w:rsidP="00AD0694">
      <w:pPr>
        <w:rPr>
          <w:rFonts w:cstheme="minorHAnsi"/>
          <w:sz w:val="24"/>
          <w:szCs w:val="24"/>
        </w:rPr>
      </w:pPr>
      <w:r w:rsidRPr="007C2F47">
        <w:rPr>
          <w:rFonts w:cstheme="minorHAnsi"/>
          <w:sz w:val="24"/>
          <w:szCs w:val="24"/>
        </w:rPr>
        <w:t xml:space="preserve">Artemisia </w:t>
      </w:r>
      <w:proofErr w:type="spellStart"/>
      <w:r w:rsidRPr="007C2F47">
        <w:rPr>
          <w:rFonts w:cstheme="minorHAnsi"/>
          <w:sz w:val="24"/>
          <w:szCs w:val="24"/>
        </w:rPr>
        <w:t>annua</w:t>
      </w:r>
      <w:proofErr w:type="spellEnd"/>
      <w:r w:rsidR="00BC6BFC" w:rsidRPr="007C2F47">
        <w:rPr>
          <w:rFonts w:cstheme="minorHAnsi"/>
          <w:sz w:val="24"/>
          <w:szCs w:val="24"/>
        </w:rPr>
        <w:t xml:space="preserve"> (</w:t>
      </w:r>
      <w:proofErr w:type="spellStart"/>
      <w:r w:rsidR="00BC6BFC" w:rsidRPr="007C2F47">
        <w:rPr>
          <w:rFonts w:cstheme="minorHAnsi"/>
          <w:sz w:val="24"/>
          <w:szCs w:val="24"/>
        </w:rPr>
        <w:t>Artesunate</w:t>
      </w:r>
      <w:proofErr w:type="spellEnd"/>
      <w:r w:rsidR="00BC6BFC" w:rsidRPr="007C2F47">
        <w:rPr>
          <w:rFonts w:cstheme="minorHAnsi"/>
          <w:sz w:val="24"/>
          <w:szCs w:val="24"/>
        </w:rPr>
        <w:t xml:space="preserve">): </w:t>
      </w:r>
      <w:hyperlink r:id="rId16" w:history="1">
        <w:r w:rsidR="00BC6BFC" w:rsidRPr="007C2F47">
          <w:rPr>
            <w:rStyle w:val="Hyperlink"/>
            <w:rFonts w:cstheme="minorHAnsi"/>
            <w:sz w:val="24"/>
            <w:szCs w:val="24"/>
          </w:rPr>
          <w:t>https://www.sciencedire</w:t>
        </w:r>
        <w:r w:rsidR="00BC6BFC" w:rsidRPr="007C2F47">
          <w:rPr>
            <w:rStyle w:val="Hyperlink"/>
            <w:rFonts w:cstheme="minorHAnsi"/>
            <w:sz w:val="24"/>
            <w:szCs w:val="24"/>
          </w:rPr>
          <w:t>c</w:t>
        </w:r>
        <w:r w:rsidR="00BC6BFC" w:rsidRPr="007C2F47">
          <w:rPr>
            <w:rStyle w:val="Hyperlink"/>
            <w:rFonts w:cstheme="minorHAnsi"/>
            <w:sz w:val="24"/>
            <w:szCs w:val="24"/>
          </w:rPr>
          <w:t>t.com/science/article/pii/S1386653209001966?via%3Dihub</w:t>
        </w:r>
      </w:hyperlink>
    </w:p>
    <w:p w14:paraId="6EA108B2" w14:textId="77777777" w:rsidR="00175D57" w:rsidRPr="007C2F47" w:rsidRDefault="00922EAA" w:rsidP="00AD0694">
      <w:pPr>
        <w:rPr>
          <w:rFonts w:cstheme="minorHAnsi"/>
          <w:sz w:val="24"/>
          <w:szCs w:val="24"/>
        </w:rPr>
      </w:pPr>
      <w:r w:rsidRPr="007C2F47">
        <w:rPr>
          <w:rFonts w:cstheme="minorHAnsi"/>
          <w:sz w:val="24"/>
          <w:szCs w:val="24"/>
        </w:rPr>
        <w:t>Kurkuma</w:t>
      </w:r>
    </w:p>
    <w:p w14:paraId="0EC83067" w14:textId="6E57E3E5" w:rsidR="00175D57" w:rsidRPr="007C2F47" w:rsidRDefault="00175D57" w:rsidP="00AD0694">
      <w:pPr>
        <w:rPr>
          <w:rFonts w:cstheme="minorHAnsi"/>
          <w:color w:val="212121"/>
          <w:sz w:val="24"/>
          <w:szCs w:val="24"/>
          <w:shd w:val="clear" w:color="auto" w:fill="FFFFFF"/>
          <w:lang w:val="en-US"/>
        </w:rPr>
      </w:pPr>
      <w:r w:rsidRPr="007C2F47">
        <w:rPr>
          <w:rFonts w:cstheme="minorHAnsi"/>
          <w:color w:val="212121"/>
          <w:sz w:val="24"/>
          <w:szCs w:val="24"/>
          <w:shd w:val="clear" w:color="auto" w:fill="FFFFFF"/>
          <w:lang w:val="en-US"/>
        </w:rPr>
        <w:t>“</w:t>
      </w:r>
      <w:r w:rsidRPr="007C2F47">
        <w:rPr>
          <w:rFonts w:cstheme="minorHAnsi"/>
          <w:color w:val="212121"/>
          <w:sz w:val="24"/>
          <w:szCs w:val="24"/>
          <w:shd w:val="clear" w:color="auto" w:fill="FFFFFF"/>
          <w:lang w:val="en-US"/>
        </w:rPr>
        <w:t>Turmeric at a concentration of 10 microg x ml (-1)</w:t>
      </w:r>
      <w:r w:rsidR="00536437" w:rsidRPr="007C2F47">
        <w:rPr>
          <w:rFonts w:cstheme="minorHAnsi"/>
          <w:color w:val="212121"/>
          <w:sz w:val="24"/>
          <w:szCs w:val="24"/>
          <w:shd w:val="clear" w:color="auto" w:fill="FFFFFF"/>
          <w:lang w:val="en-US"/>
        </w:rPr>
        <w:t xml:space="preserve"> </w:t>
      </w:r>
      <w:r w:rsidRPr="007C2F47">
        <w:rPr>
          <w:rFonts w:cstheme="minorHAnsi"/>
          <w:color w:val="212121"/>
          <w:sz w:val="24"/>
          <w:szCs w:val="24"/>
          <w:shd w:val="clear" w:color="auto" w:fill="FFFFFF"/>
          <w:lang w:val="en-US"/>
        </w:rPr>
        <w:t>exhibited the most potent anti-EBV-EA activity</w:t>
      </w:r>
      <w:r w:rsidRPr="007C2F47">
        <w:rPr>
          <w:rFonts w:cstheme="minorHAnsi"/>
          <w:color w:val="212121"/>
          <w:sz w:val="24"/>
          <w:szCs w:val="24"/>
          <w:shd w:val="clear" w:color="auto" w:fill="FFFFFF"/>
          <w:lang w:val="en-US"/>
        </w:rPr>
        <w:t xml:space="preserve">” </w:t>
      </w:r>
      <w:r w:rsidR="00536437" w:rsidRPr="007C2F47">
        <w:rPr>
          <w:rFonts w:cstheme="minorHAnsi"/>
          <w:color w:val="212121"/>
          <w:sz w:val="24"/>
          <w:szCs w:val="24"/>
          <w:shd w:val="clear" w:color="auto" w:fill="FFFFFF"/>
          <w:lang w:val="en-US"/>
        </w:rPr>
        <w:t>(</w:t>
      </w:r>
      <w:hyperlink r:id="rId17" w:history="1">
        <w:r w:rsidR="00536437" w:rsidRPr="007C2F47">
          <w:rPr>
            <w:rStyle w:val="Hyperlink"/>
            <w:rFonts w:cstheme="minorHAnsi"/>
            <w:sz w:val="24"/>
            <w:szCs w:val="24"/>
            <w:shd w:val="clear" w:color="auto" w:fill="FFFFFF"/>
            <w:lang w:val="en-US"/>
          </w:rPr>
          <w:t>https://pubmed.ncbi.nlm.nih.gov/11884218/</w:t>
        </w:r>
      </w:hyperlink>
      <w:r w:rsidR="00536437" w:rsidRPr="007C2F47">
        <w:rPr>
          <w:rFonts w:cstheme="minorHAnsi"/>
          <w:color w:val="212121"/>
          <w:sz w:val="24"/>
          <w:szCs w:val="24"/>
          <w:shd w:val="clear" w:color="auto" w:fill="FFFFFF"/>
          <w:lang w:val="en-US"/>
        </w:rPr>
        <w:t>)</w:t>
      </w:r>
    </w:p>
    <w:p w14:paraId="645CDF3F" w14:textId="0DFD7179" w:rsidR="00641820" w:rsidRPr="007C2F47" w:rsidRDefault="008C6A74" w:rsidP="00AD0694">
      <w:pPr>
        <w:rPr>
          <w:rFonts w:cstheme="minorHAnsi"/>
          <w:color w:val="212121"/>
          <w:sz w:val="24"/>
          <w:szCs w:val="24"/>
          <w:shd w:val="clear" w:color="auto" w:fill="FFFFFF"/>
          <w:lang w:val="en-US"/>
        </w:rPr>
      </w:pPr>
      <w:r w:rsidRPr="007C2F47">
        <w:rPr>
          <w:rFonts w:cstheme="minorHAnsi"/>
          <w:color w:val="212121"/>
          <w:sz w:val="24"/>
          <w:szCs w:val="24"/>
          <w:shd w:val="clear" w:color="auto" w:fill="FFFFFF"/>
          <w:lang w:val="en-US"/>
        </w:rPr>
        <w:t>“</w:t>
      </w:r>
      <w:r w:rsidRPr="007C2F47">
        <w:rPr>
          <w:rFonts w:cstheme="minorHAnsi"/>
          <w:color w:val="212121"/>
          <w:sz w:val="24"/>
          <w:szCs w:val="24"/>
          <w:shd w:val="clear" w:color="auto" w:fill="FFFFFF"/>
          <w:lang w:val="en-US"/>
        </w:rPr>
        <w:t xml:space="preserve">Curcumin blocked the B-cell immortalization in a dose-dependent fashion with nearly complete inhibition at 20 </w:t>
      </w:r>
      <w:proofErr w:type="spellStart"/>
      <w:r w:rsidRPr="007C2F47">
        <w:rPr>
          <w:rFonts w:cstheme="minorHAnsi"/>
          <w:color w:val="212121"/>
          <w:sz w:val="24"/>
          <w:szCs w:val="24"/>
          <w:shd w:val="clear" w:color="auto" w:fill="FFFFFF"/>
          <w:lang w:val="en-US"/>
        </w:rPr>
        <w:t>microM</w:t>
      </w:r>
      <w:proofErr w:type="spellEnd"/>
      <w:r w:rsidRPr="007C2F47">
        <w:rPr>
          <w:rFonts w:cstheme="minorHAnsi"/>
          <w:color w:val="212121"/>
          <w:sz w:val="24"/>
          <w:szCs w:val="24"/>
          <w:shd w:val="clear" w:color="auto" w:fill="FFFFFF"/>
          <w:lang w:val="en-US"/>
        </w:rPr>
        <w:t xml:space="preserve">. </w:t>
      </w:r>
      <w:r w:rsidR="007C2F47">
        <w:rPr>
          <w:rFonts w:cstheme="minorHAnsi"/>
          <w:color w:val="212121"/>
          <w:sz w:val="24"/>
          <w:szCs w:val="24"/>
          <w:shd w:val="clear" w:color="auto" w:fill="FFFFFF"/>
          <w:lang w:val="en-US"/>
        </w:rPr>
        <w:t xml:space="preserve">[…] </w:t>
      </w:r>
      <w:r w:rsidRPr="007C2F47">
        <w:rPr>
          <w:rFonts w:cstheme="minorHAnsi"/>
          <w:color w:val="212121"/>
          <w:sz w:val="24"/>
          <w:szCs w:val="24"/>
          <w:shd w:val="clear" w:color="auto" w:fill="FFFFFF"/>
          <w:lang w:val="en-US"/>
        </w:rPr>
        <w:t>curcumin may be an effective adjunct in the prevention of PTLD in the patients undergoing therapy with cyclosporine A.</w:t>
      </w:r>
      <w:r w:rsidRPr="007C2F47">
        <w:rPr>
          <w:rFonts w:cstheme="minorHAnsi"/>
          <w:color w:val="212121"/>
          <w:sz w:val="24"/>
          <w:szCs w:val="24"/>
          <w:shd w:val="clear" w:color="auto" w:fill="FFFFFF"/>
          <w:lang w:val="en-US"/>
        </w:rPr>
        <w:t xml:space="preserve">» </w:t>
      </w:r>
      <w:hyperlink r:id="rId18" w:history="1">
        <w:r w:rsidRPr="007C2F47">
          <w:rPr>
            <w:rStyle w:val="Hyperlink"/>
            <w:rFonts w:cstheme="minorHAnsi"/>
            <w:sz w:val="24"/>
            <w:szCs w:val="24"/>
            <w:shd w:val="clear" w:color="auto" w:fill="FFFFFF"/>
            <w:lang w:val="en-US"/>
          </w:rPr>
          <w:t>https://pubmed.ncbi.nlm.nih.gov/9457037/</w:t>
        </w:r>
      </w:hyperlink>
    </w:p>
    <w:p w14:paraId="52F0B1A0" w14:textId="77777777" w:rsidR="00641820" w:rsidRPr="007C2F47" w:rsidRDefault="00641820" w:rsidP="00AD0694">
      <w:pPr>
        <w:rPr>
          <w:rFonts w:cstheme="minorHAnsi"/>
          <w:color w:val="212121"/>
          <w:sz w:val="24"/>
          <w:szCs w:val="24"/>
          <w:shd w:val="clear" w:color="auto" w:fill="FFFFFF"/>
          <w:lang w:val="en-US"/>
        </w:rPr>
      </w:pPr>
    </w:p>
    <w:p w14:paraId="50320F79" w14:textId="62B86058" w:rsidR="00922EAA" w:rsidRDefault="007C5A41" w:rsidP="00AD0694">
      <w:pPr>
        <w:rPr>
          <w:sz w:val="24"/>
          <w:szCs w:val="24"/>
        </w:rPr>
      </w:pPr>
      <w:r w:rsidRPr="007C5A41">
        <w:rPr>
          <w:sz w:val="24"/>
          <w:szCs w:val="24"/>
        </w:rPr>
        <w:t>Siehe Kerr für e</w:t>
      </w:r>
      <w:r>
        <w:rPr>
          <w:sz w:val="24"/>
          <w:szCs w:val="24"/>
        </w:rPr>
        <w:t xml:space="preserve">inen Überblick: </w:t>
      </w:r>
    </w:p>
    <w:p w14:paraId="72CDDF0E" w14:textId="42677C8D" w:rsidR="000B1C28" w:rsidRPr="009646EE" w:rsidRDefault="000B1C28" w:rsidP="00AD0694">
      <w:pPr>
        <w:rPr>
          <w:sz w:val="24"/>
          <w:szCs w:val="24"/>
        </w:rPr>
      </w:pPr>
      <w:r>
        <w:rPr>
          <w:noProof/>
        </w:rPr>
        <w:drawing>
          <wp:inline distT="0" distB="0" distL="0" distR="0" wp14:anchorId="172201BF" wp14:editId="5C716DD7">
            <wp:extent cx="5760720" cy="5850255"/>
            <wp:effectExtent l="0" t="0" r="0" b="0"/>
            <wp:docPr id="701730842" name="Grafik 1" descr="Ein Bild, das Text, Screenshot, Zahl,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730842" name="Grafik 1" descr="Ein Bild, das Text, Screenshot, Zahl, Schrift enthält.&#10;&#10;Automatisch generierte Beschreibung"/>
                    <pic:cNvPicPr/>
                  </pic:nvPicPr>
                  <pic:blipFill>
                    <a:blip r:embed="rId19"/>
                    <a:stretch>
                      <a:fillRect/>
                    </a:stretch>
                  </pic:blipFill>
                  <pic:spPr>
                    <a:xfrm>
                      <a:off x="0" y="0"/>
                      <a:ext cx="5760720" cy="5850255"/>
                    </a:xfrm>
                    <a:prstGeom prst="rect">
                      <a:avLst/>
                    </a:prstGeom>
                  </pic:spPr>
                </pic:pic>
              </a:graphicData>
            </a:graphic>
          </wp:inline>
        </w:drawing>
      </w:r>
    </w:p>
    <w:p w14:paraId="305F1F39" w14:textId="587F9CE5" w:rsidR="00350C4A" w:rsidRDefault="000B1C28" w:rsidP="00AD0694">
      <w:pPr>
        <w:rPr>
          <w:sz w:val="24"/>
          <w:szCs w:val="24"/>
        </w:rPr>
      </w:pPr>
      <w:r>
        <w:rPr>
          <w:sz w:val="24"/>
          <w:szCs w:val="24"/>
        </w:rPr>
        <w:t xml:space="preserve">Abbildung aus: </w:t>
      </w:r>
      <w:r w:rsidR="003619BC">
        <w:rPr>
          <w:sz w:val="24"/>
          <w:szCs w:val="24"/>
        </w:rPr>
        <w:t>Kerr (2019):</w:t>
      </w:r>
      <w:r w:rsidR="00F81F4F">
        <w:rPr>
          <w:sz w:val="24"/>
          <w:szCs w:val="24"/>
        </w:rPr>
        <w:t xml:space="preserve"> </w:t>
      </w:r>
      <w:r w:rsidR="00F81F4F" w:rsidRPr="00F81F4F">
        <w:rPr>
          <w:sz w:val="24"/>
          <w:szCs w:val="24"/>
        </w:rPr>
        <w:t xml:space="preserve">Epstein-Barr </w:t>
      </w:r>
      <w:proofErr w:type="spellStart"/>
      <w:r w:rsidR="00F81F4F" w:rsidRPr="00F81F4F">
        <w:rPr>
          <w:sz w:val="24"/>
          <w:szCs w:val="24"/>
        </w:rPr>
        <w:t>virus</w:t>
      </w:r>
      <w:proofErr w:type="spellEnd"/>
      <w:r w:rsidR="00F81F4F" w:rsidRPr="00F81F4F">
        <w:rPr>
          <w:sz w:val="24"/>
          <w:szCs w:val="24"/>
        </w:rPr>
        <w:t xml:space="preserve"> (EBV) </w:t>
      </w:r>
      <w:proofErr w:type="spellStart"/>
      <w:r w:rsidR="00F81F4F" w:rsidRPr="00F81F4F">
        <w:rPr>
          <w:sz w:val="24"/>
          <w:szCs w:val="24"/>
        </w:rPr>
        <w:t>reactivation</w:t>
      </w:r>
      <w:proofErr w:type="spellEnd"/>
      <w:r w:rsidR="00F81F4F" w:rsidRPr="00F81F4F">
        <w:rPr>
          <w:sz w:val="24"/>
          <w:szCs w:val="24"/>
        </w:rPr>
        <w:t xml:space="preserve"> and </w:t>
      </w:r>
      <w:proofErr w:type="spellStart"/>
      <w:r w:rsidR="00F81F4F" w:rsidRPr="00F81F4F">
        <w:rPr>
          <w:sz w:val="24"/>
          <w:szCs w:val="24"/>
        </w:rPr>
        <w:t>therapeutic</w:t>
      </w:r>
      <w:proofErr w:type="spellEnd"/>
      <w:r w:rsidR="00F81F4F" w:rsidRPr="00F81F4F">
        <w:rPr>
          <w:sz w:val="24"/>
          <w:szCs w:val="24"/>
        </w:rPr>
        <w:t xml:space="preserve"> </w:t>
      </w:r>
      <w:proofErr w:type="spellStart"/>
      <w:r w:rsidR="00F81F4F" w:rsidRPr="00F81F4F">
        <w:rPr>
          <w:sz w:val="24"/>
          <w:szCs w:val="24"/>
        </w:rPr>
        <w:t>inhibitors</w:t>
      </w:r>
      <w:proofErr w:type="spellEnd"/>
      <w:r w:rsidR="003619BC">
        <w:rPr>
          <w:sz w:val="24"/>
          <w:szCs w:val="24"/>
        </w:rPr>
        <w:t xml:space="preserve"> </w:t>
      </w:r>
      <w:hyperlink r:id="rId20" w:history="1">
        <w:r w:rsidR="00F81F4F" w:rsidRPr="001721DA">
          <w:rPr>
            <w:rStyle w:val="Hyperlink"/>
            <w:sz w:val="24"/>
            <w:szCs w:val="24"/>
          </w:rPr>
          <w:t>https://jcp.bmj.com/content/72/10/651</w:t>
        </w:r>
      </w:hyperlink>
    </w:p>
    <w:p w14:paraId="5575BABA" w14:textId="77777777" w:rsidR="003619BC" w:rsidRPr="009646EE" w:rsidRDefault="003619BC" w:rsidP="00AD0694">
      <w:pPr>
        <w:rPr>
          <w:sz w:val="24"/>
          <w:szCs w:val="24"/>
        </w:rPr>
      </w:pPr>
    </w:p>
    <w:p w14:paraId="25F81904" w14:textId="4C3DAD77" w:rsidR="00912548" w:rsidRPr="009646EE" w:rsidRDefault="00912548" w:rsidP="00AD0694">
      <w:pPr>
        <w:rPr>
          <w:sz w:val="24"/>
          <w:szCs w:val="24"/>
        </w:rPr>
      </w:pPr>
    </w:p>
    <w:sectPr w:rsidR="00912548" w:rsidRPr="009646E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694"/>
    <w:rsid w:val="00093C58"/>
    <w:rsid w:val="000B1C28"/>
    <w:rsid w:val="00175D57"/>
    <w:rsid w:val="00350C4A"/>
    <w:rsid w:val="003619BC"/>
    <w:rsid w:val="003B2B4A"/>
    <w:rsid w:val="00536437"/>
    <w:rsid w:val="00641820"/>
    <w:rsid w:val="007C2F47"/>
    <w:rsid w:val="007C5A41"/>
    <w:rsid w:val="008C6A74"/>
    <w:rsid w:val="00912548"/>
    <w:rsid w:val="00922EAA"/>
    <w:rsid w:val="009646EE"/>
    <w:rsid w:val="009B394B"/>
    <w:rsid w:val="009D17ED"/>
    <w:rsid w:val="009E5F7F"/>
    <w:rsid w:val="00A60DDE"/>
    <w:rsid w:val="00AD0694"/>
    <w:rsid w:val="00BC6BFC"/>
    <w:rsid w:val="00D938F1"/>
    <w:rsid w:val="00F81F4F"/>
    <w:rsid w:val="00FB4F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C879"/>
  <w15:chartTrackingRefBased/>
  <w15:docId w15:val="{3D10ABB3-DE35-4E02-A443-47DE1FEDC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D0694"/>
    <w:rPr>
      <w:color w:val="0563C1" w:themeColor="hyperlink"/>
      <w:u w:val="single"/>
    </w:rPr>
  </w:style>
  <w:style w:type="character" w:styleId="NichtaufgelsteErwhnung">
    <w:name w:val="Unresolved Mention"/>
    <w:basedOn w:val="Absatz-Standardschriftart"/>
    <w:uiPriority w:val="99"/>
    <w:semiHidden/>
    <w:unhideWhenUsed/>
    <w:rsid w:val="00AD0694"/>
    <w:rPr>
      <w:color w:val="605E5C"/>
      <w:shd w:val="clear" w:color="auto" w:fill="E1DFDD"/>
    </w:rPr>
  </w:style>
  <w:style w:type="character" w:styleId="BesuchterLink">
    <w:name w:val="FollowedHyperlink"/>
    <w:basedOn w:val="Absatz-Standardschriftart"/>
    <w:uiPriority w:val="99"/>
    <w:semiHidden/>
    <w:unhideWhenUsed/>
    <w:rsid w:val="00AD06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abs/pii/009012298690245X?via%3Dihub" TargetMode="External"/><Relationship Id="rId13" Type="http://schemas.openxmlformats.org/officeDocument/2006/relationships/hyperlink" Target="https://www.sciencedirect.com/science/article/pii/S1567576918313092?via%3Dihub" TargetMode="External"/><Relationship Id="rId18" Type="http://schemas.openxmlformats.org/officeDocument/2006/relationships/hyperlink" Target="https://pubmed.ncbi.nlm.nih.gov/9457037/"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acpjournals.org/doi/10.7326/0003-4819-105-1-139_2" TargetMode="External"/><Relationship Id="rId12" Type="http://schemas.openxmlformats.org/officeDocument/2006/relationships/hyperlink" Target="https://t.co/neEG7UzAYg" TargetMode="External"/><Relationship Id="rId17" Type="http://schemas.openxmlformats.org/officeDocument/2006/relationships/hyperlink" Target="https://pubmed.ncbi.nlm.nih.gov/11884218/" TargetMode="External"/><Relationship Id="rId2" Type="http://schemas.openxmlformats.org/officeDocument/2006/relationships/settings" Target="settings.xml"/><Relationship Id="rId16" Type="http://schemas.openxmlformats.org/officeDocument/2006/relationships/hyperlink" Target="https://www.sciencedirect.com/science/article/pii/S1386653209001966?via%3Dihub" TargetMode="External"/><Relationship Id="rId20" Type="http://schemas.openxmlformats.org/officeDocument/2006/relationships/hyperlink" Target="https://jcp.bmj.com/content/72/10/651" TargetMode="External"/><Relationship Id="rId1" Type="http://schemas.openxmlformats.org/officeDocument/2006/relationships/styles" Target="styles.xml"/><Relationship Id="rId6" Type="http://schemas.openxmlformats.org/officeDocument/2006/relationships/hyperlink" Target="https://pubmed.ncbi.nlm.nih.gov/3021713/" TargetMode="External"/><Relationship Id="rId11" Type="http://schemas.openxmlformats.org/officeDocument/2006/relationships/hyperlink" Target="https://t.co/n6LKzmHbxU" TargetMode="External"/><Relationship Id="rId5" Type="http://schemas.openxmlformats.org/officeDocument/2006/relationships/hyperlink" Target="https://www.acpjournals.org/doi/10.7326/0003-4819-99-3-410_2" TargetMode="External"/><Relationship Id="rId15" Type="http://schemas.openxmlformats.org/officeDocument/2006/relationships/hyperlink" Target="https://www.sciencedirect.com/science/article/abs/pii/0192056194900779" TargetMode="External"/><Relationship Id="rId10" Type="http://schemas.openxmlformats.org/officeDocument/2006/relationships/hyperlink" Target="https://onlinelibrary.wiley.com/doi/abs/10.1046/j.1365-2273.1997.00873.x" TargetMode="External"/><Relationship Id="rId19" Type="http://schemas.openxmlformats.org/officeDocument/2006/relationships/image" Target="media/image1.png"/><Relationship Id="rId4" Type="http://schemas.openxmlformats.org/officeDocument/2006/relationships/hyperlink" Target="https://www.postviral.org/people/regina-zauchner/" TargetMode="External"/><Relationship Id="rId9" Type="http://schemas.openxmlformats.org/officeDocument/2006/relationships/hyperlink" Target="https://www.tandfonline.com/doi/abs/10.1080/17843286.1993.11718310" TargetMode="External"/><Relationship Id="rId14" Type="http://schemas.openxmlformats.org/officeDocument/2006/relationships/hyperlink" Target="https://pubmed.ncbi.nlm.nih.gov/6250237/"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5051</Characters>
  <Application>Microsoft Office Word</Application>
  <DocSecurity>0</DocSecurity>
  <Lines>42</Lines>
  <Paragraphs>11</Paragraphs>
  <ScaleCrop>false</ScaleCrop>
  <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Schmidt, Mirko (ISPW)</dc:creator>
  <cp:keywords/>
  <dc:description/>
  <cp:lastModifiedBy>Schmidt, Mirko (ISPW)</cp:lastModifiedBy>
  <cp:revision>22</cp:revision>
  <dcterms:created xsi:type="dcterms:W3CDTF">2023-08-30T13:21:00Z</dcterms:created>
  <dcterms:modified xsi:type="dcterms:W3CDTF">2024-06-11T13:18:00Z</dcterms:modified>
</cp:coreProperties>
</file>